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45"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701"/>
        <w:gridCol w:w="992"/>
        <w:gridCol w:w="7513"/>
        <w:gridCol w:w="1276"/>
        <w:gridCol w:w="992"/>
        <w:gridCol w:w="1135"/>
      </w:tblGrid>
      <w:tr w:rsidR="00463968" w:rsidTr="00281597">
        <w:tc>
          <w:tcPr>
            <w:tcW w:w="2127" w:type="dxa"/>
            <w:gridSpan w:val="2"/>
            <w:tcBorders>
              <w:top w:val="single" w:sz="8" w:space="0" w:color="78786E"/>
              <w:left w:val="single" w:sz="8" w:space="0" w:color="78786E"/>
              <w:bottom w:val="single" w:sz="8" w:space="0" w:color="78786E"/>
              <w:right w:val="single" w:sz="8" w:space="0" w:color="78786E"/>
            </w:tcBorders>
            <w:shd w:val="clear" w:color="auto" w:fill="4B0082"/>
            <w:tcMar>
              <w:top w:w="40" w:type="dxa"/>
              <w:left w:w="40" w:type="dxa"/>
              <w:bottom w:w="40" w:type="dxa"/>
              <w:right w:w="40" w:type="dxa"/>
            </w:tcMar>
            <w:hideMark/>
          </w:tcPr>
          <w:p w:rsidR="00463968" w:rsidRDefault="00762AF9" w:rsidP="00463968">
            <w:pPr>
              <w:spacing w:after="0" w:line="240" w:lineRule="auto"/>
            </w:pPr>
            <w:r>
              <w:rPr>
                <w:rFonts w:ascii="Verdana" w:eastAsia="Verdana" w:hAnsi="Verdana" w:cs="Verdana"/>
                <w:b/>
                <w:color w:val="FFFFFF"/>
                <w:sz w:val="16"/>
              </w:rPr>
              <w:t>“</w:t>
            </w:r>
            <w:r w:rsidR="00463968">
              <w:rPr>
                <w:rFonts w:ascii="Verdana" w:eastAsia="Verdana" w:hAnsi="Verdana" w:cs="Verdana"/>
                <w:b/>
                <w:color w:val="FFFFFF"/>
                <w:sz w:val="16"/>
              </w:rPr>
              <w:t>Context</w:t>
            </w:r>
          </w:p>
        </w:tc>
        <w:tc>
          <w:tcPr>
            <w:tcW w:w="1701" w:type="dxa"/>
            <w:tcBorders>
              <w:top w:val="single" w:sz="8" w:space="0" w:color="78786E"/>
              <w:left w:val="single" w:sz="8" w:space="0" w:color="78786E"/>
              <w:bottom w:val="single" w:sz="8" w:space="0" w:color="78786E"/>
              <w:right w:val="single" w:sz="8" w:space="0" w:color="78786E"/>
            </w:tcBorders>
            <w:shd w:val="clear" w:color="auto" w:fill="4B0082"/>
            <w:tcMar>
              <w:top w:w="40" w:type="dxa"/>
              <w:left w:w="40" w:type="dxa"/>
              <w:bottom w:w="40" w:type="dxa"/>
              <w:right w:w="40" w:type="dxa"/>
            </w:tcMar>
            <w:hideMark/>
          </w:tcPr>
          <w:p w:rsidR="00463968" w:rsidRDefault="00463968" w:rsidP="00463968">
            <w:pPr>
              <w:spacing w:after="0" w:line="240" w:lineRule="auto"/>
              <w:rPr>
                <w:rFonts w:ascii="Verdana" w:eastAsia="Verdana" w:hAnsi="Verdana" w:cs="Verdana"/>
                <w:b/>
                <w:color w:val="FFFFFF"/>
                <w:sz w:val="16"/>
              </w:rPr>
            </w:pPr>
            <w:r>
              <w:rPr>
                <w:rFonts w:ascii="Verdana" w:eastAsia="Verdana" w:hAnsi="Verdana" w:cs="Verdana"/>
                <w:b/>
                <w:color w:val="FFFFFF"/>
                <w:sz w:val="16"/>
              </w:rPr>
              <w:t>Risk Statement</w:t>
            </w:r>
          </w:p>
        </w:tc>
        <w:tc>
          <w:tcPr>
            <w:tcW w:w="992" w:type="dxa"/>
            <w:tcBorders>
              <w:top w:val="single" w:sz="8" w:space="0" w:color="78786E"/>
              <w:left w:val="single" w:sz="8" w:space="0" w:color="78786E"/>
              <w:bottom w:val="single" w:sz="8" w:space="0" w:color="78786E"/>
              <w:right w:val="single" w:sz="8" w:space="0" w:color="78786E"/>
            </w:tcBorders>
            <w:shd w:val="clear" w:color="auto" w:fill="4B0082"/>
            <w:tcMar>
              <w:top w:w="40" w:type="dxa"/>
              <w:left w:w="40" w:type="dxa"/>
              <w:bottom w:w="40" w:type="dxa"/>
              <w:right w:w="40" w:type="dxa"/>
            </w:tcMar>
            <w:hideMark/>
          </w:tcPr>
          <w:p w:rsidR="00463968" w:rsidRDefault="00463968" w:rsidP="00463968">
            <w:pPr>
              <w:spacing w:after="0" w:line="240" w:lineRule="auto"/>
              <w:rPr>
                <w:rFonts w:ascii="Verdana" w:eastAsia="Verdana" w:hAnsi="Verdana" w:cs="Verdana"/>
                <w:b/>
                <w:color w:val="FFFFFF"/>
                <w:sz w:val="16"/>
              </w:rPr>
            </w:pPr>
            <w:r>
              <w:rPr>
                <w:rFonts w:ascii="Verdana" w:eastAsia="Verdana" w:hAnsi="Verdana" w:cs="Verdana"/>
                <w:b/>
                <w:color w:val="FFFFFF"/>
                <w:sz w:val="16"/>
              </w:rPr>
              <w:t>Owned by</w:t>
            </w:r>
          </w:p>
        </w:tc>
        <w:tc>
          <w:tcPr>
            <w:tcW w:w="7513" w:type="dxa"/>
            <w:tcBorders>
              <w:top w:val="single" w:sz="8" w:space="0" w:color="78786E"/>
              <w:left w:val="single" w:sz="8" w:space="0" w:color="78786E"/>
              <w:bottom w:val="single" w:sz="8" w:space="0" w:color="78786E"/>
              <w:right w:val="single" w:sz="8" w:space="0" w:color="78786E"/>
            </w:tcBorders>
            <w:shd w:val="clear" w:color="auto" w:fill="4B0082"/>
            <w:tcMar>
              <w:top w:w="40" w:type="dxa"/>
              <w:left w:w="40" w:type="dxa"/>
              <w:bottom w:w="40" w:type="dxa"/>
              <w:right w:w="40" w:type="dxa"/>
            </w:tcMar>
            <w:hideMark/>
          </w:tcPr>
          <w:p w:rsidR="00463968" w:rsidRDefault="00463968" w:rsidP="00463968">
            <w:pPr>
              <w:spacing w:after="0" w:line="240" w:lineRule="auto"/>
              <w:rPr>
                <w:rFonts w:ascii="Verdana" w:eastAsia="Verdana" w:hAnsi="Verdana" w:cs="Verdana"/>
                <w:b/>
                <w:color w:val="FFFFFF"/>
                <w:sz w:val="16"/>
              </w:rPr>
            </w:pPr>
            <w:r>
              <w:rPr>
                <w:rFonts w:ascii="Verdana" w:eastAsia="Verdana" w:hAnsi="Verdana" w:cs="Verdana"/>
                <w:b/>
                <w:color w:val="FFFFFF"/>
                <w:sz w:val="16"/>
              </w:rPr>
              <w:t>Current Risk Control Measures</w:t>
            </w:r>
            <w:r w:rsidR="00035499">
              <w:rPr>
                <w:rFonts w:ascii="Verdana" w:eastAsia="Verdana" w:hAnsi="Verdana" w:cs="Verdana"/>
                <w:b/>
                <w:color w:val="FFFFFF"/>
                <w:sz w:val="16"/>
              </w:rPr>
              <w:t xml:space="preserve"> in Place as at </w:t>
            </w:r>
            <w:r w:rsidR="008C7702">
              <w:rPr>
                <w:rFonts w:ascii="Verdana" w:eastAsia="Verdana" w:hAnsi="Verdana" w:cs="Verdana"/>
                <w:b/>
                <w:color w:val="FFFFFF"/>
                <w:sz w:val="16"/>
              </w:rPr>
              <w:t>October</w:t>
            </w:r>
            <w:r w:rsidR="00035499">
              <w:rPr>
                <w:rFonts w:ascii="Verdana" w:eastAsia="Verdana" w:hAnsi="Verdana" w:cs="Verdana"/>
                <w:b/>
                <w:color w:val="FFFFFF"/>
                <w:sz w:val="16"/>
              </w:rPr>
              <w:t xml:space="preserve"> 2019</w:t>
            </w:r>
          </w:p>
        </w:tc>
        <w:tc>
          <w:tcPr>
            <w:tcW w:w="1276" w:type="dxa"/>
            <w:tcBorders>
              <w:top w:val="single" w:sz="8" w:space="0" w:color="78786E"/>
              <w:left w:val="single" w:sz="8" w:space="0" w:color="78786E"/>
              <w:bottom w:val="single" w:sz="8" w:space="0" w:color="78786E"/>
              <w:right w:val="single" w:sz="8" w:space="0" w:color="78786E"/>
            </w:tcBorders>
            <w:shd w:val="clear" w:color="auto" w:fill="4B0082"/>
            <w:tcMar>
              <w:top w:w="40" w:type="dxa"/>
              <w:left w:w="40" w:type="dxa"/>
              <w:bottom w:w="40" w:type="dxa"/>
              <w:right w:w="40" w:type="dxa"/>
            </w:tcMar>
            <w:hideMark/>
          </w:tcPr>
          <w:p w:rsidR="00463968" w:rsidRDefault="00463968" w:rsidP="00463968">
            <w:pPr>
              <w:spacing w:after="0" w:line="240" w:lineRule="auto"/>
              <w:jc w:val="center"/>
              <w:rPr>
                <w:rFonts w:ascii="Verdana" w:eastAsia="Verdana" w:hAnsi="Verdana" w:cs="Verdana"/>
                <w:b/>
                <w:color w:val="FFFFFF"/>
                <w:sz w:val="16"/>
              </w:rPr>
            </w:pPr>
            <w:r>
              <w:rPr>
                <w:rFonts w:ascii="Verdana" w:eastAsia="Verdana" w:hAnsi="Verdana" w:cs="Verdana"/>
                <w:b/>
                <w:color w:val="FFFFFF"/>
                <w:sz w:val="16"/>
              </w:rPr>
              <w:t>Likelihood</w:t>
            </w:r>
          </w:p>
        </w:tc>
        <w:tc>
          <w:tcPr>
            <w:tcW w:w="992" w:type="dxa"/>
            <w:tcBorders>
              <w:top w:val="single" w:sz="8" w:space="0" w:color="78786E"/>
              <w:left w:val="single" w:sz="8" w:space="0" w:color="78786E"/>
              <w:bottom w:val="single" w:sz="8" w:space="0" w:color="78786E"/>
              <w:right w:val="single" w:sz="8" w:space="0" w:color="78786E"/>
            </w:tcBorders>
            <w:shd w:val="clear" w:color="auto" w:fill="4B0082"/>
            <w:tcMar>
              <w:top w:w="40" w:type="dxa"/>
              <w:left w:w="40" w:type="dxa"/>
              <w:bottom w:w="40" w:type="dxa"/>
              <w:right w:w="40" w:type="dxa"/>
            </w:tcMar>
            <w:hideMark/>
          </w:tcPr>
          <w:p w:rsidR="00463968" w:rsidRDefault="00463968" w:rsidP="00463968">
            <w:pPr>
              <w:spacing w:after="0" w:line="240" w:lineRule="auto"/>
              <w:jc w:val="center"/>
              <w:rPr>
                <w:rFonts w:ascii="Verdana" w:eastAsia="Verdana" w:hAnsi="Verdana" w:cs="Verdana"/>
                <w:b/>
                <w:color w:val="FFFFFF"/>
                <w:sz w:val="16"/>
              </w:rPr>
            </w:pPr>
            <w:r>
              <w:rPr>
                <w:rFonts w:ascii="Verdana" w:eastAsia="Verdana" w:hAnsi="Verdana" w:cs="Verdana"/>
                <w:b/>
                <w:color w:val="FFFFFF"/>
                <w:sz w:val="16"/>
              </w:rPr>
              <w:t>Impact</w:t>
            </w:r>
          </w:p>
        </w:tc>
        <w:tc>
          <w:tcPr>
            <w:tcW w:w="1135" w:type="dxa"/>
            <w:tcBorders>
              <w:top w:val="single" w:sz="8" w:space="0" w:color="78786E"/>
              <w:left w:val="single" w:sz="8" w:space="0" w:color="78786E"/>
              <w:bottom w:val="single" w:sz="8" w:space="0" w:color="78786E"/>
              <w:right w:val="single" w:sz="8" w:space="0" w:color="78786E"/>
            </w:tcBorders>
            <w:shd w:val="clear" w:color="auto" w:fill="4B0082"/>
            <w:tcMar>
              <w:top w:w="40" w:type="dxa"/>
              <w:left w:w="40" w:type="dxa"/>
              <w:bottom w:w="40" w:type="dxa"/>
              <w:right w:w="40" w:type="dxa"/>
            </w:tcMar>
            <w:hideMark/>
          </w:tcPr>
          <w:p w:rsidR="00463968" w:rsidRDefault="00463968" w:rsidP="00463968">
            <w:pPr>
              <w:spacing w:after="0" w:line="240" w:lineRule="auto"/>
              <w:jc w:val="center"/>
              <w:rPr>
                <w:rFonts w:ascii="Verdana" w:eastAsia="Verdana" w:hAnsi="Verdana" w:cs="Verdana"/>
                <w:b/>
                <w:color w:val="FFFFFF"/>
                <w:sz w:val="16"/>
              </w:rPr>
            </w:pPr>
            <w:r>
              <w:rPr>
                <w:rFonts w:ascii="Verdana" w:eastAsia="Verdana" w:hAnsi="Verdana" w:cs="Verdana"/>
                <w:b/>
                <w:color w:val="FFFFFF"/>
                <w:sz w:val="16"/>
              </w:rPr>
              <w:t>Evaluation</w:t>
            </w:r>
          </w:p>
        </w:tc>
      </w:tr>
      <w:tr w:rsidR="00463968" w:rsidTr="00281597">
        <w:tc>
          <w:tcPr>
            <w:tcW w:w="2127" w:type="dxa"/>
            <w:gridSpan w:val="2"/>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hideMark/>
          </w:tcPr>
          <w:p w:rsidR="00463968" w:rsidRDefault="00463968" w:rsidP="00463968">
            <w:pPr>
              <w:spacing w:after="0" w:line="240" w:lineRule="auto"/>
              <w:rPr>
                <w:rFonts w:ascii="Verdana" w:eastAsia="Verdana" w:hAnsi="Verdana" w:cs="Verdana"/>
                <w:color w:val="000000"/>
                <w:sz w:val="16"/>
              </w:rPr>
            </w:pPr>
            <w:r>
              <w:rPr>
                <w:rFonts w:ascii="Verdana" w:eastAsia="Verdana" w:hAnsi="Verdana" w:cs="Verdana"/>
                <w:color w:val="000000"/>
                <w:sz w:val="16"/>
              </w:rPr>
              <w:t>Brexit</w:t>
            </w:r>
            <w:r w:rsidR="003D3BBB">
              <w:rPr>
                <w:rFonts w:ascii="Verdana" w:eastAsia="Verdana" w:hAnsi="Verdana" w:cs="Verdana"/>
                <w:color w:val="000000"/>
                <w:sz w:val="16"/>
              </w:rPr>
              <w:t xml:space="preserve"> Readiness</w:t>
            </w:r>
          </w:p>
        </w:tc>
        <w:tc>
          <w:tcPr>
            <w:tcW w:w="1701"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hideMark/>
          </w:tcPr>
          <w:p w:rsidR="00463968" w:rsidRDefault="00463968" w:rsidP="00463968">
            <w:pPr>
              <w:pStyle w:val="Default"/>
              <w:rPr>
                <w:rFonts w:ascii="Verdana" w:eastAsia="Verdana" w:hAnsi="Verdana" w:cs="Verdana"/>
                <w:sz w:val="16"/>
                <w:lang w:eastAsia="en-US"/>
              </w:rPr>
            </w:pPr>
            <w:r>
              <w:rPr>
                <w:rFonts w:ascii="Verdana" w:eastAsia="Verdana" w:hAnsi="Verdana" w:cs="Verdana"/>
                <w:sz w:val="16"/>
                <w:lang w:eastAsia="en-US"/>
              </w:rPr>
              <w:t xml:space="preserve">The council needs to corporately </w:t>
            </w:r>
            <w:r w:rsidR="00EF759F">
              <w:rPr>
                <w:rFonts w:ascii="Verdana" w:eastAsia="Verdana" w:hAnsi="Verdana" w:cs="Verdana"/>
                <w:sz w:val="16"/>
                <w:lang w:eastAsia="en-US"/>
              </w:rPr>
              <w:t xml:space="preserve">and effectively </w:t>
            </w:r>
            <w:r>
              <w:rPr>
                <w:rFonts w:ascii="Verdana" w:eastAsia="Verdana" w:hAnsi="Verdana" w:cs="Verdana"/>
                <w:sz w:val="16"/>
                <w:lang w:eastAsia="en-US"/>
              </w:rPr>
              <w:t>prepare</w:t>
            </w:r>
            <w:r w:rsidR="00EC19D0">
              <w:rPr>
                <w:rFonts w:ascii="Verdana" w:eastAsia="Verdana" w:hAnsi="Verdana" w:cs="Verdana"/>
                <w:sz w:val="16"/>
                <w:lang w:eastAsia="en-US"/>
              </w:rPr>
              <w:t xml:space="preserve"> for Brexit and specifically</w:t>
            </w:r>
            <w:r>
              <w:rPr>
                <w:rFonts w:ascii="Verdana" w:eastAsia="Verdana" w:hAnsi="Verdana" w:cs="Verdana"/>
                <w:sz w:val="16"/>
                <w:lang w:eastAsia="en-US"/>
              </w:rPr>
              <w:t xml:space="preserve"> a no deal Brexit, working </w:t>
            </w:r>
            <w:r w:rsidR="00C12D9D">
              <w:rPr>
                <w:rFonts w:ascii="Verdana" w:eastAsia="Verdana" w:hAnsi="Verdana" w:cs="Verdana"/>
                <w:sz w:val="16"/>
                <w:lang w:eastAsia="en-US"/>
              </w:rPr>
              <w:t xml:space="preserve">alongside </w:t>
            </w:r>
            <w:r>
              <w:rPr>
                <w:rFonts w:ascii="Verdana" w:eastAsia="Verdana" w:hAnsi="Verdana" w:cs="Verdana"/>
                <w:sz w:val="16"/>
                <w:lang w:eastAsia="en-US"/>
              </w:rPr>
              <w:t>key partners</w:t>
            </w:r>
            <w:r w:rsidR="00EF759F">
              <w:rPr>
                <w:rFonts w:ascii="Verdana" w:eastAsia="Verdana" w:hAnsi="Verdana" w:cs="Verdana"/>
                <w:sz w:val="16"/>
                <w:lang w:eastAsia="en-US"/>
              </w:rPr>
              <w:t>,</w:t>
            </w:r>
            <w:r>
              <w:rPr>
                <w:rFonts w:ascii="Verdana" w:eastAsia="Verdana" w:hAnsi="Verdana" w:cs="Verdana"/>
                <w:sz w:val="16"/>
                <w:lang w:eastAsia="en-US"/>
              </w:rPr>
              <w:t xml:space="preserve"> otherwise there is a risk of </w:t>
            </w:r>
            <w:r w:rsidR="00700E12">
              <w:rPr>
                <w:rFonts w:ascii="Verdana" w:eastAsia="Verdana" w:hAnsi="Verdana" w:cs="Verdana"/>
                <w:sz w:val="16"/>
                <w:lang w:eastAsia="en-US"/>
              </w:rPr>
              <w:t>disruption to</w:t>
            </w:r>
            <w:r w:rsidR="00F31FF8">
              <w:rPr>
                <w:rFonts w:ascii="Verdana" w:eastAsia="Verdana" w:hAnsi="Verdana" w:cs="Verdana"/>
                <w:sz w:val="16"/>
                <w:lang w:eastAsia="en-US"/>
              </w:rPr>
              <w:t xml:space="preserve"> service provision, </w:t>
            </w:r>
            <w:r w:rsidR="00EF759F">
              <w:rPr>
                <w:rFonts w:ascii="Verdana" w:eastAsia="Verdana" w:hAnsi="Verdana" w:cs="Verdana"/>
                <w:sz w:val="16"/>
                <w:lang w:eastAsia="en-US"/>
              </w:rPr>
              <w:t xml:space="preserve">an increase in workforce and financial </w:t>
            </w:r>
            <w:r w:rsidR="00A80431">
              <w:rPr>
                <w:rFonts w:ascii="Verdana" w:eastAsia="Verdana" w:hAnsi="Verdana" w:cs="Verdana"/>
                <w:sz w:val="16"/>
                <w:lang w:eastAsia="en-US"/>
              </w:rPr>
              <w:t>pressures</w:t>
            </w:r>
            <w:r w:rsidR="00EF759F">
              <w:rPr>
                <w:rFonts w:ascii="Verdana" w:eastAsia="Verdana" w:hAnsi="Verdana" w:cs="Verdana"/>
                <w:sz w:val="16"/>
                <w:lang w:eastAsia="en-US"/>
              </w:rPr>
              <w:t xml:space="preserve"> and difficulty in responding effectively to impacts on the public (such as potential increases in costs of living and vulnerability).</w:t>
            </w:r>
          </w:p>
        </w:tc>
        <w:tc>
          <w:tcPr>
            <w:tcW w:w="99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hideMark/>
          </w:tcPr>
          <w:p w:rsidR="00463968" w:rsidRDefault="00EC19D0" w:rsidP="00463968">
            <w:pPr>
              <w:spacing w:after="0" w:line="240" w:lineRule="auto"/>
              <w:rPr>
                <w:rFonts w:ascii="Verdana" w:eastAsia="Verdana" w:hAnsi="Verdana" w:cs="Verdana"/>
                <w:sz w:val="16"/>
              </w:rPr>
            </w:pPr>
            <w:r>
              <w:rPr>
                <w:rFonts w:ascii="Verdana" w:eastAsia="Verdana" w:hAnsi="Verdana" w:cs="Verdana"/>
                <w:sz w:val="16"/>
              </w:rPr>
              <w:t>Brexit Readiness Steering Group</w:t>
            </w:r>
          </w:p>
        </w:tc>
        <w:tc>
          <w:tcPr>
            <w:tcW w:w="7513"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hideMark/>
          </w:tcPr>
          <w:p w:rsidR="0058350A" w:rsidRPr="00120BB2" w:rsidRDefault="00120BB2" w:rsidP="00120BB2">
            <w:pPr>
              <w:spacing w:after="0" w:line="240" w:lineRule="auto"/>
              <w:rPr>
                <w:rFonts w:ascii="Verdana" w:eastAsia="Verdana" w:hAnsi="Verdana" w:cs="Verdana"/>
                <w:b/>
                <w:sz w:val="16"/>
                <w:u w:val="single"/>
              </w:rPr>
            </w:pPr>
            <w:r w:rsidRPr="00120BB2">
              <w:rPr>
                <w:rFonts w:ascii="Verdana" w:eastAsia="Verdana" w:hAnsi="Verdana" w:cs="Verdana"/>
                <w:b/>
                <w:sz w:val="16"/>
                <w:u w:val="single"/>
              </w:rPr>
              <w:t>GOVERNANCE</w:t>
            </w:r>
          </w:p>
          <w:p w:rsidR="0058350A" w:rsidRDefault="0058350A" w:rsidP="00497676">
            <w:pPr>
              <w:pStyle w:val="ListParagraph"/>
              <w:spacing w:after="0" w:line="240" w:lineRule="auto"/>
              <w:ind w:left="360"/>
              <w:contextualSpacing w:val="0"/>
              <w:rPr>
                <w:rFonts w:ascii="Verdana" w:eastAsia="Verdana" w:hAnsi="Verdana" w:cs="Verdana"/>
                <w:sz w:val="16"/>
              </w:rPr>
            </w:pPr>
          </w:p>
          <w:p w:rsidR="00232B08" w:rsidRPr="00612EA3" w:rsidRDefault="00232B08" w:rsidP="00232B08">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Brexit Readiness Steering Group established</w:t>
            </w:r>
          </w:p>
          <w:p w:rsidR="0058350A" w:rsidRPr="00612EA3" w:rsidRDefault="0058350A" w:rsidP="0058350A">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Council engaged with a wide range of regional and national bodies focused on contingency planning for Brexit</w:t>
            </w:r>
          </w:p>
          <w:p w:rsidR="0058350A" w:rsidRDefault="0058350A" w:rsidP="0058350A">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CPP Brexit workshop undertaken and initial CPP risk assessment and action plan established with two follow-up sessions arranged</w:t>
            </w:r>
          </w:p>
          <w:p w:rsidR="00232B08" w:rsidRDefault="00232B08" w:rsidP="00232B08">
            <w:pPr>
              <w:pStyle w:val="ListParagraph"/>
              <w:numPr>
                <w:ilvl w:val="0"/>
                <w:numId w:val="1"/>
              </w:numPr>
              <w:spacing w:after="0" w:line="240" w:lineRule="auto"/>
              <w:contextualSpacing w:val="0"/>
              <w:rPr>
                <w:rFonts w:ascii="Verdana" w:eastAsia="Verdana" w:hAnsi="Verdana" w:cs="Verdana"/>
                <w:sz w:val="16"/>
              </w:rPr>
            </w:pPr>
            <w:r>
              <w:rPr>
                <w:rFonts w:ascii="Verdana" w:eastAsia="Verdana" w:hAnsi="Verdana" w:cs="Verdana"/>
                <w:sz w:val="16"/>
              </w:rPr>
              <w:t>Brexit Contingency activation plan created</w:t>
            </w:r>
          </w:p>
          <w:p w:rsidR="008C7702" w:rsidRDefault="008C7702" w:rsidP="008C7702">
            <w:pPr>
              <w:pStyle w:val="ListParagraph"/>
              <w:numPr>
                <w:ilvl w:val="0"/>
                <w:numId w:val="1"/>
              </w:numPr>
              <w:spacing w:after="0" w:line="240" w:lineRule="auto"/>
              <w:contextualSpacing w:val="0"/>
              <w:rPr>
                <w:rFonts w:ascii="Verdana" w:eastAsia="Verdana" w:hAnsi="Verdana" w:cs="Verdana"/>
                <w:sz w:val="16"/>
              </w:rPr>
            </w:pPr>
            <w:r w:rsidRPr="00863498">
              <w:rPr>
                <w:rFonts w:ascii="Verdana" w:eastAsia="Verdana" w:hAnsi="Verdana" w:cs="Verdana"/>
                <w:sz w:val="16"/>
              </w:rPr>
              <w:t xml:space="preserve">Chief Exec </w:t>
            </w:r>
            <w:r>
              <w:rPr>
                <w:rFonts w:ascii="Verdana" w:eastAsia="Verdana" w:hAnsi="Verdana" w:cs="Verdana"/>
                <w:sz w:val="16"/>
              </w:rPr>
              <w:t xml:space="preserve">agreed </w:t>
            </w:r>
            <w:r w:rsidRPr="00863498">
              <w:rPr>
                <w:rFonts w:ascii="Verdana" w:eastAsia="Verdana" w:hAnsi="Verdana" w:cs="Verdana"/>
                <w:sz w:val="16"/>
              </w:rPr>
              <w:t>to keep a watching brief on Scot Govt command and control arrangements and potential impact on council.</w:t>
            </w:r>
          </w:p>
          <w:p w:rsidR="008C7702" w:rsidRPr="009631A6" w:rsidRDefault="008C7702" w:rsidP="008C7702">
            <w:pPr>
              <w:pStyle w:val="ListParagraph"/>
              <w:numPr>
                <w:ilvl w:val="0"/>
                <w:numId w:val="1"/>
              </w:numPr>
              <w:spacing w:after="0" w:line="240" w:lineRule="auto"/>
              <w:contextualSpacing w:val="0"/>
              <w:rPr>
                <w:rFonts w:ascii="Verdana" w:eastAsia="Verdana" w:hAnsi="Verdana" w:cs="Verdana"/>
                <w:sz w:val="16"/>
              </w:rPr>
            </w:pPr>
            <w:r w:rsidRPr="009631A6">
              <w:rPr>
                <w:rFonts w:ascii="Verdana" w:eastAsia="Verdana" w:hAnsi="Verdana" w:cs="Verdana"/>
                <w:sz w:val="16"/>
              </w:rPr>
              <w:t>Strategic Brexit Risk group set up to address longer term risks</w:t>
            </w:r>
          </w:p>
          <w:p w:rsidR="008C7702" w:rsidRPr="00035499" w:rsidRDefault="008C7702" w:rsidP="008C7702">
            <w:pPr>
              <w:pStyle w:val="ListParagraph"/>
              <w:numPr>
                <w:ilvl w:val="0"/>
                <w:numId w:val="1"/>
              </w:numPr>
              <w:spacing w:after="0" w:line="240" w:lineRule="auto"/>
              <w:contextualSpacing w:val="0"/>
              <w:rPr>
                <w:rFonts w:ascii="Verdana" w:eastAsia="Verdana" w:hAnsi="Verdana" w:cs="Verdana"/>
                <w:sz w:val="16"/>
              </w:rPr>
            </w:pPr>
            <w:r w:rsidRPr="00035499">
              <w:rPr>
                <w:rFonts w:ascii="Verdana" w:eastAsia="Verdana" w:hAnsi="Verdana" w:cs="Verdana"/>
                <w:sz w:val="16"/>
              </w:rPr>
              <w:t>Ongoing briefings to CMT on supply chain/ sub-contractor risk</w:t>
            </w:r>
          </w:p>
          <w:p w:rsidR="0058350A" w:rsidRDefault="0058350A" w:rsidP="00497676">
            <w:pPr>
              <w:pStyle w:val="ListParagraph"/>
              <w:spacing w:after="0" w:line="240" w:lineRule="auto"/>
              <w:ind w:left="360"/>
              <w:contextualSpacing w:val="0"/>
              <w:rPr>
                <w:rFonts w:ascii="Verdana" w:eastAsia="Verdana" w:hAnsi="Verdana" w:cs="Verdana"/>
                <w:sz w:val="16"/>
              </w:rPr>
            </w:pPr>
          </w:p>
          <w:p w:rsidR="008C7702" w:rsidRDefault="008C7702" w:rsidP="00497676">
            <w:pPr>
              <w:pStyle w:val="ListParagraph"/>
              <w:spacing w:after="0" w:line="240" w:lineRule="auto"/>
              <w:ind w:left="360"/>
              <w:contextualSpacing w:val="0"/>
              <w:rPr>
                <w:rFonts w:ascii="Verdana" w:eastAsia="Verdana" w:hAnsi="Verdana" w:cs="Verdana"/>
                <w:sz w:val="16"/>
              </w:rPr>
            </w:pPr>
          </w:p>
          <w:p w:rsidR="00035499" w:rsidRPr="00120BB2" w:rsidRDefault="0058350A" w:rsidP="00120BB2">
            <w:pPr>
              <w:spacing w:after="0" w:line="240" w:lineRule="auto"/>
              <w:rPr>
                <w:rFonts w:ascii="Verdana" w:eastAsia="Verdana" w:hAnsi="Verdana" w:cs="Verdana"/>
                <w:b/>
                <w:sz w:val="16"/>
                <w:u w:val="single"/>
              </w:rPr>
            </w:pPr>
            <w:r w:rsidRPr="00120BB2">
              <w:rPr>
                <w:rFonts w:ascii="Verdana" w:eastAsia="Verdana" w:hAnsi="Verdana" w:cs="Verdana"/>
                <w:b/>
                <w:sz w:val="16"/>
                <w:u w:val="single"/>
              </w:rPr>
              <w:t>WORKFORCE</w:t>
            </w:r>
          </w:p>
          <w:p w:rsidR="0058350A" w:rsidRDefault="0058350A" w:rsidP="00497676">
            <w:pPr>
              <w:pStyle w:val="ListParagraph"/>
              <w:spacing w:after="0" w:line="240" w:lineRule="auto"/>
              <w:ind w:left="360"/>
              <w:contextualSpacing w:val="0"/>
              <w:rPr>
                <w:rFonts w:ascii="Verdana" w:eastAsia="Verdana" w:hAnsi="Verdana" w:cs="Verdana"/>
                <w:sz w:val="16"/>
              </w:rPr>
            </w:pPr>
          </w:p>
          <w:p w:rsidR="00232B08" w:rsidRPr="00035499" w:rsidRDefault="008C7702" w:rsidP="00232B08">
            <w:pPr>
              <w:pStyle w:val="ListParagraph"/>
              <w:numPr>
                <w:ilvl w:val="0"/>
                <w:numId w:val="1"/>
              </w:numPr>
              <w:spacing w:after="0" w:line="240" w:lineRule="auto"/>
              <w:contextualSpacing w:val="0"/>
              <w:rPr>
                <w:rFonts w:ascii="Verdana" w:eastAsia="Verdana" w:hAnsi="Verdana" w:cs="Verdana"/>
                <w:sz w:val="16"/>
              </w:rPr>
            </w:pPr>
            <w:r>
              <w:rPr>
                <w:rFonts w:ascii="Verdana" w:eastAsia="Verdana" w:hAnsi="Verdana" w:cs="Verdana"/>
                <w:sz w:val="16"/>
              </w:rPr>
              <w:t>C</w:t>
            </w:r>
            <w:r w:rsidR="00232B08" w:rsidRPr="00035499">
              <w:rPr>
                <w:rFonts w:ascii="Verdana" w:eastAsia="Verdana" w:hAnsi="Verdana" w:cs="Verdana"/>
                <w:sz w:val="16"/>
              </w:rPr>
              <w:t>ouncil staff lettered with information, Brexit team brief issued and Brexit page on Intranet and Website launched. Arrangements in place to enable any other employees impacted to come forward for advice. Website updated following Leadership Board paper and to reflect launch of Scottish Government website for preparing for Brexit. Council is promoting and signposting to the Scottish Government site.</w:t>
            </w:r>
          </w:p>
          <w:p w:rsidR="008C7702" w:rsidRDefault="00232B08" w:rsidP="00672AA2">
            <w:pPr>
              <w:pStyle w:val="ListParagraph"/>
              <w:numPr>
                <w:ilvl w:val="0"/>
                <w:numId w:val="1"/>
              </w:numPr>
              <w:spacing w:after="0" w:line="240" w:lineRule="auto"/>
              <w:contextualSpacing w:val="0"/>
              <w:rPr>
                <w:rFonts w:ascii="Verdana" w:eastAsia="Verdana" w:hAnsi="Verdana" w:cs="Verdana"/>
                <w:sz w:val="16"/>
              </w:rPr>
            </w:pPr>
            <w:r w:rsidRPr="008C7702">
              <w:rPr>
                <w:rFonts w:ascii="Verdana" w:eastAsia="Verdana" w:hAnsi="Verdana" w:cs="Verdana"/>
                <w:sz w:val="16"/>
              </w:rPr>
              <w:t xml:space="preserve">Careful management of leave around the critical period CMT/ CRMT/ BRSG </w:t>
            </w:r>
          </w:p>
          <w:p w:rsidR="00232B08" w:rsidRPr="008C7702" w:rsidRDefault="00232B08" w:rsidP="00672AA2">
            <w:pPr>
              <w:pStyle w:val="ListParagraph"/>
              <w:numPr>
                <w:ilvl w:val="0"/>
                <w:numId w:val="1"/>
              </w:numPr>
              <w:spacing w:after="0" w:line="240" w:lineRule="auto"/>
              <w:contextualSpacing w:val="0"/>
              <w:rPr>
                <w:rFonts w:ascii="Verdana" w:eastAsia="Verdana" w:hAnsi="Verdana" w:cs="Verdana"/>
                <w:sz w:val="16"/>
              </w:rPr>
            </w:pPr>
            <w:r w:rsidRPr="008C7702">
              <w:rPr>
                <w:rFonts w:ascii="Verdana" w:eastAsia="Verdana" w:hAnsi="Verdana" w:cs="Verdana"/>
                <w:sz w:val="16"/>
              </w:rPr>
              <w:t>Training events for relevant identified staff Continue to be carried out</w:t>
            </w:r>
          </w:p>
          <w:p w:rsidR="00232B08" w:rsidRDefault="00232B08" w:rsidP="00232B08">
            <w:pPr>
              <w:pStyle w:val="ListParagraph"/>
              <w:numPr>
                <w:ilvl w:val="0"/>
                <w:numId w:val="1"/>
              </w:numPr>
              <w:spacing w:after="0" w:line="240" w:lineRule="auto"/>
              <w:contextualSpacing w:val="0"/>
              <w:rPr>
                <w:rFonts w:ascii="Verdana" w:eastAsia="Verdana" w:hAnsi="Verdana" w:cs="Verdana"/>
                <w:sz w:val="16"/>
              </w:rPr>
            </w:pPr>
            <w:r>
              <w:rPr>
                <w:rFonts w:ascii="Verdana" w:eastAsia="Verdana" w:hAnsi="Verdana" w:cs="Verdana"/>
                <w:sz w:val="16"/>
              </w:rPr>
              <w:t xml:space="preserve">Mapping of locations of home and workplace for front line staff completed </w:t>
            </w:r>
          </w:p>
          <w:p w:rsidR="0058350A" w:rsidRDefault="0058350A" w:rsidP="00497676">
            <w:pPr>
              <w:pStyle w:val="ListParagraph"/>
              <w:spacing w:after="0" w:line="240" w:lineRule="auto"/>
              <w:ind w:left="360"/>
              <w:contextualSpacing w:val="0"/>
              <w:rPr>
                <w:rFonts w:ascii="Verdana" w:eastAsia="Verdana" w:hAnsi="Verdana" w:cs="Verdana"/>
                <w:sz w:val="16"/>
              </w:rPr>
            </w:pPr>
          </w:p>
          <w:p w:rsidR="0058350A" w:rsidRDefault="0058350A" w:rsidP="00497676">
            <w:pPr>
              <w:pStyle w:val="ListParagraph"/>
              <w:spacing w:after="0" w:line="240" w:lineRule="auto"/>
              <w:ind w:left="360"/>
              <w:contextualSpacing w:val="0"/>
              <w:rPr>
                <w:rFonts w:ascii="Verdana" w:eastAsia="Verdana" w:hAnsi="Verdana" w:cs="Verdana"/>
                <w:sz w:val="16"/>
              </w:rPr>
            </w:pPr>
          </w:p>
          <w:p w:rsidR="0058350A" w:rsidRPr="00120BB2" w:rsidRDefault="0058350A" w:rsidP="00120BB2">
            <w:pPr>
              <w:spacing w:after="0" w:line="240" w:lineRule="auto"/>
              <w:rPr>
                <w:rFonts w:ascii="Verdana" w:eastAsia="Verdana" w:hAnsi="Verdana" w:cs="Verdana"/>
                <w:b/>
                <w:sz w:val="16"/>
                <w:u w:val="single"/>
              </w:rPr>
            </w:pPr>
            <w:r w:rsidRPr="00120BB2">
              <w:rPr>
                <w:rFonts w:ascii="Verdana" w:eastAsia="Verdana" w:hAnsi="Verdana" w:cs="Verdana"/>
                <w:b/>
                <w:sz w:val="16"/>
                <w:u w:val="single"/>
              </w:rPr>
              <w:t>GOODS, SERVICES &amp; SUPPLIES</w:t>
            </w:r>
          </w:p>
          <w:p w:rsidR="0058350A" w:rsidRDefault="0058350A" w:rsidP="00497676">
            <w:pPr>
              <w:pStyle w:val="ListParagraph"/>
              <w:spacing w:after="0" w:line="240" w:lineRule="auto"/>
              <w:ind w:left="360"/>
              <w:contextualSpacing w:val="0"/>
              <w:rPr>
                <w:rFonts w:ascii="Verdana" w:eastAsia="Verdana" w:hAnsi="Verdana" w:cs="Verdana"/>
                <w:sz w:val="16"/>
              </w:rPr>
            </w:pPr>
          </w:p>
          <w:p w:rsidR="0058350A" w:rsidRPr="00612EA3" w:rsidRDefault="0058350A" w:rsidP="0058350A">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 xml:space="preserve">For product safety and food </w:t>
            </w:r>
            <w:r>
              <w:rPr>
                <w:rFonts w:ascii="Verdana" w:eastAsia="Verdana" w:hAnsi="Verdana" w:cs="Verdana"/>
                <w:sz w:val="16"/>
              </w:rPr>
              <w:t>import/export</w:t>
            </w:r>
            <w:r w:rsidRPr="00612EA3">
              <w:rPr>
                <w:rFonts w:ascii="Verdana" w:eastAsia="Verdana" w:hAnsi="Verdana" w:cs="Verdana"/>
                <w:sz w:val="16"/>
              </w:rPr>
              <w:t xml:space="preserve"> – agreed recruitment to relevant posts</w:t>
            </w:r>
            <w:r>
              <w:rPr>
                <w:rFonts w:ascii="Verdana" w:eastAsia="Verdana" w:hAnsi="Verdana" w:cs="Verdana"/>
                <w:sz w:val="16"/>
              </w:rPr>
              <w:t xml:space="preserve"> – Nationwide working group established</w:t>
            </w:r>
          </w:p>
          <w:p w:rsidR="0058350A" w:rsidRPr="00612EA3" w:rsidRDefault="0058350A" w:rsidP="0058350A">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NHS GG&amp;C enga</w:t>
            </w:r>
            <w:r>
              <w:rPr>
                <w:rFonts w:ascii="Verdana" w:eastAsia="Verdana" w:hAnsi="Verdana" w:cs="Verdana"/>
                <w:sz w:val="16"/>
              </w:rPr>
              <w:t>ged</w:t>
            </w:r>
            <w:r w:rsidRPr="00612EA3">
              <w:rPr>
                <w:rFonts w:ascii="Verdana" w:eastAsia="Verdana" w:hAnsi="Verdana" w:cs="Verdana"/>
                <w:sz w:val="16"/>
              </w:rPr>
              <w:t xml:space="preserve"> with the Chief Pharmacist while working closely with colleagues in the Department of Health in England and with the pharmaceutical industry to ensure stocks of medicines are managed effectively</w:t>
            </w:r>
          </w:p>
          <w:p w:rsidR="0058350A" w:rsidRPr="00612EA3" w:rsidRDefault="0058350A" w:rsidP="0058350A">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 xml:space="preserve">HSCP working with GPs to </w:t>
            </w:r>
            <w:r w:rsidR="00FC2B9A">
              <w:rPr>
                <w:rFonts w:ascii="Verdana" w:eastAsia="Verdana" w:hAnsi="Verdana" w:cs="Verdana"/>
                <w:sz w:val="16"/>
              </w:rPr>
              <w:t xml:space="preserve">support </w:t>
            </w:r>
            <w:r w:rsidR="00FC2B9A" w:rsidRPr="00FC2B9A">
              <w:rPr>
                <w:rFonts w:ascii="Verdana" w:eastAsia="Verdana" w:hAnsi="Verdana" w:cs="Verdana"/>
                <w:sz w:val="16"/>
              </w:rPr>
              <w:t xml:space="preserve">appropriate </w:t>
            </w:r>
            <w:r w:rsidRPr="00FC2B9A">
              <w:rPr>
                <w:rFonts w:ascii="Verdana" w:eastAsia="Verdana" w:hAnsi="Verdana" w:cs="Verdana"/>
                <w:sz w:val="16"/>
              </w:rPr>
              <w:t>public response</w:t>
            </w:r>
            <w:r w:rsidRPr="00612EA3">
              <w:rPr>
                <w:rFonts w:ascii="Verdana" w:eastAsia="Verdana" w:hAnsi="Verdana" w:cs="Verdana"/>
                <w:sz w:val="16"/>
              </w:rPr>
              <w:t xml:space="preserve"> re medication supplies</w:t>
            </w:r>
          </w:p>
          <w:p w:rsidR="0058350A" w:rsidRPr="00612EA3" w:rsidRDefault="0058350A" w:rsidP="0058350A">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Children’s Services and HSCP have identified groups or individuals where food is ‘medicine’ and numbers are relatively low</w:t>
            </w:r>
          </w:p>
          <w:p w:rsidR="0058350A" w:rsidRPr="00612EA3" w:rsidRDefault="0058350A" w:rsidP="0058350A">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Scotland Excel have carried out a full category assessment of supply chains and for catering have additionally been liaising with school catering managers</w:t>
            </w:r>
          </w:p>
          <w:p w:rsidR="0058350A" w:rsidRPr="00612EA3" w:rsidRDefault="0058350A" w:rsidP="0058350A">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 xml:space="preserve">Brakes have confirmed high levels of confidence in ability to continue </w:t>
            </w:r>
            <w:proofErr w:type="gramStart"/>
            <w:r w:rsidRPr="00612EA3">
              <w:rPr>
                <w:rFonts w:ascii="Verdana" w:eastAsia="Verdana" w:hAnsi="Verdana" w:cs="Verdana"/>
                <w:sz w:val="16"/>
              </w:rPr>
              <w:t>supply..</w:t>
            </w:r>
            <w:proofErr w:type="gramEnd"/>
            <w:r w:rsidRPr="00612EA3">
              <w:rPr>
                <w:rFonts w:ascii="Verdana" w:eastAsia="Verdana" w:hAnsi="Verdana" w:cs="Verdana"/>
                <w:sz w:val="16"/>
              </w:rPr>
              <w:t xml:space="preserve"> Noting up to 4-day delay as reasonable worst-case scenario</w:t>
            </w:r>
          </w:p>
          <w:p w:rsidR="00232B08" w:rsidRPr="00035499" w:rsidRDefault="00232B08" w:rsidP="00232B08">
            <w:pPr>
              <w:pStyle w:val="ListParagraph"/>
              <w:numPr>
                <w:ilvl w:val="0"/>
                <w:numId w:val="1"/>
              </w:numPr>
              <w:spacing w:after="0" w:line="240" w:lineRule="auto"/>
              <w:contextualSpacing w:val="0"/>
              <w:rPr>
                <w:rFonts w:ascii="Verdana" w:eastAsia="Verdana" w:hAnsi="Verdana" w:cs="Verdana"/>
                <w:sz w:val="16"/>
              </w:rPr>
            </w:pPr>
            <w:r w:rsidRPr="00035499">
              <w:rPr>
                <w:rFonts w:ascii="Verdana" w:eastAsia="Verdana" w:hAnsi="Verdana" w:cs="Verdana"/>
                <w:sz w:val="16"/>
              </w:rPr>
              <w:t xml:space="preserve">Bunkered fuel tanks, salt levels and heating fuel sites are being kept topped up </w:t>
            </w:r>
          </w:p>
          <w:p w:rsidR="00232B08" w:rsidRPr="00035499" w:rsidRDefault="00232B08" w:rsidP="00232B08">
            <w:pPr>
              <w:pStyle w:val="ListParagraph"/>
              <w:numPr>
                <w:ilvl w:val="0"/>
                <w:numId w:val="1"/>
              </w:numPr>
              <w:spacing w:after="0" w:line="240" w:lineRule="auto"/>
              <w:contextualSpacing w:val="0"/>
              <w:rPr>
                <w:rFonts w:ascii="Verdana" w:eastAsia="Verdana" w:hAnsi="Verdana" w:cs="Verdana"/>
                <w:sz w:val="16"/>
              </w:rPr>
            </w:pPr>
            <w:r w:rsidRPr="00035499">
              <w:rPr>
                <w:rFonts w:ascii="Verdana" w:eastAsia="Verdana" w:hAnsi="Verdana" w:cs="Verdana"/>
                <w:sz w:val="16"/>
              </w:rPr>
              <w:t>National emergency plan for fuel in place</w:t>
            </w:r>
          </w:p>
          <w:p w:rsidR="00232B08" w:rsidRPr="00035499" w:rsidRDefault="00232B08" w:rsidP="00232B08">
            <w:pPr>
              <w:pStyle w:val="ListParagraph"/>
              <w:numPr>
                <w:ilvl w:val="0"/>
                <w:numId w:val="1"/>
              </w:numPr>
              <w:spacing w:after="0" w:line="240" w:lineRule="auto"/>
              <w:contextualSpacing w:val="0"/>
              <w:rPr>
                <w:rFonts w:ascii="Verdana" w:eastAsia="Verdana" w:hAnsi="Verdana" w:cs="Verdana"/>
                <w:sz w:val="16"/>
              </w:rPr>
            </w:pPr>
            <w:r w:rsidRPr="00035499">
              <w:rPr>
                <w:rFonts w:ascii="Verdana" w:eastAsia="Verdana" w:hAnsi="Verdana" w:cs="Verdana"/>
                <w:sz w:val="16"/>
              </w:rPr>
              <w:t>Local fuel allocation priorities determined</w:t>
            </w:r>
          </w:p>
          <w:p w:rsidR="00232B08" w:rsidRPr="00035499" w:rsidRDefault="00232B08" w:rsidP="00232B08">
            <w:pPr>
              <w:pStyle w:val="ListParagraph"/>
              <w:numPr>
                <w:ilvl w:val="0"/>
                <w:numId w:val="1"/>
              </w:numPr>
              <w:spacing w:after="0" w:line="240" w:lineRule="auto"/>
              <w:contextualSpacing w:val="0"/>
              <w:rPr>
                <w:rFonts w:ascii="Verdana" w:eastAsia="Verdana" w:hAnsi="Verdana" w:cs="Verdana"/>
                <w:sz w:val="16"/>
              </w:rPr>
            </w:pPr>
            <w:r w:rsidRPr="00035499">
              <w:rPr>
                <w:rFonts w:ascii="Verdana" w:eastAsia="Verdana" w:hAnsi="Verdana" w:cs="Verdana"/>
                <w:sz w:val="16"/>
              </w:rPr>
              <w:t>Boiler redundancy and redeployment of parts can be carried out</w:t>
            </w:r>
          </w:p>
          <w:p w:rsidR="00232B08" w:rsidRDefault="00232B08" w:rsidP="00232B08">
            <w:pPr>
              <w:pStyle w:val="ListParagraph"/>
              <w:numPr>
                <w:ilvl w:val="0"/>
                <w:numId w:val="1"/>
              </w:numPr>
              <w:spacing w:after="0" w:line="240" w:lineRule="auto"/>
              <w:contextualSpacing w:val="0"/>
              <w:rPr>
                <w:rFonts w:ascii="Verdana" w:eastAsia="Verdana" w:hAnsi="Verdana" w:cs="Verdana"/>
                <w:sz w:val="16"/>
              </w:rPr>
            </w:pPr>
            <w:r w:rsidRPr="00877AB3">
              <w:rPr>
                <w:rFonts w:ascii="Verdana" w:eastAsia="Verdana" w:hAnsi="Verdana" w:cs="Verdana"/>
                <w:sz w:val="16"/>
              </w:rPr>
              <w:t xml:space="preserve">Food/ school meals </w:t>
            </w:r>
            <w:r>
              <w:rPr>
                <w:rFonts w:ascii="Verdana" w:eastAsia="Verdana" w:hAnsi="Verdana" w:cs="Verdana"/>
                <w:sz w:val="16"/>
              </w:rPr>
              <w:t>stock being maintained</w:t>
            </w:r>
          </w:p>
          <w:p w:rsidR="00232B08" w:rsidRPr="00612EA3" w:rsidRDefault="00232B08" w:rsidP="00232B08">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Border Force, Food Standards Scotland and Police Scotland engagement to discuss impact on partner agencies at the Airport - meetings ongoing</w:t>
            </w:r>
          </w:p>
          <w:p w:rsidR="008C7702" w:rsidRPr="00612EA3" w:rsidRDefault="008C7702" w:rsidP="008C7702">
            <w:pPr>
              <w:pStyle w:val="ListParagraph"/>
              <w:numPr>
                <w:ilvl w:val="0"/>
                <w:numId w:val="1"/>
              </w:numPr>
              <w:spacing w:after="0" w:line="240" w:lineRule="auto"/>
              <w:contextualSpacing w:val="0"/>
              <w:rPr>
                <w:rFonts w:ascii="Verdana" w:eastAsia="Verdana" w:hAnsi="Verdana" w:cs="Verdana"/>
                <w:sz w:val="16"/>
              </w:rPr>
            </w:pPr>
            <w:r>
              <w:rPr>
                <w:rFonts w:ascii="Verdana" w:eastAsia="Verdana" w:hAnsi="Verdana" w:cs="Verdana"/>
                <w:sz w:val="16"/>
              </w:rPr>
              <w:t>Advance purchasing of relevant identified items completed (service parts for lifts</w:t>
            </w:r>
            <w:r w:rsidRPr="00612EA3">
              <w:rPr>
                <w:rFonts w:ascii="Verdana" w:eastAsia="Verdana" w:hAnsi="Verdana" w:cs="Verdana"/>
                <w:sz w:val="16"/>
              </w:rPr>
              <w:t xml:space="preserve"> </w:t>
            </w:r>
            <w:r>
              <w:rPr>
                <w:rFonts w:ascii="Verdana" w:eastAsia="Verdana" w:hAnsi="Verdana" w:cs="Verdana"/>
                <w:sz w:val="16"/>
              </w:rPr>
              <w:t>etc) - Requirement will</w:t>
            </w:r>
            <w:r w:rsidRPr="00612EA3">
              <w:rPr>
                <w:rFonts w:ascii="Verdana" w:eastAsia="Verdana" w:hAnsi="Verdana" w:cs="Verdana"/>
                <w:sz w:val="16"/>
              </w:rPr>
              <w:t xml:space="preserve"> continue to be reviewed by services</w:t>
            </w:r>
          </w:p>
          <w:p w:rsidR="00232B08" w:rsidRPr="00877AB3" w:rsidRDefault="00232B08" w:rsidP="008C7702">
            <w:pPr>
              <w:pStyle w:val="ListParagraph"/>
              <w:spacing w:after="0" w:line="240" w:lineRule="auto"/>
              <w:ind w:left="360"/>
              <w:contextualSpacing w:val="0"/>
              <w:rPr>
                <w:rFonts w:ascii="Verdana" w:eastAsia="Verdana" w:hAnsi="Verdana" w:cs="Verdana"/>
                <w:sz w:val="16"/>
              </w:rPr>
            </w:pPr>
          </w:p>
          <w:p w:rsidR="0058350A" w:rsidRDefault="0058350A" w:rsidP="00497676">
            <w:pPr>
              <w:pStyle w:val="ListParagraph"/>
              <w:spacing w:after="0" w:line="240" w:lineRule="auto"/>
              <w:ind w:left="360"/>
              <w:contextualSpacing w:val="0"/>
              <w:rPr>
                <w:rFonts w:ascii="Verdana" w:eastAsia="Verdana" w:hAnsi="Verdana" w:cs="Verdana"/>
                <w:sz w:val="16"/>
              </w:rPr>
            </w:pPr>
          </w:p>
          <w:p w:rsidR="008C7702" w:rsidRDefault="008C7702" w:rsidP="00497676">
            <w:pPr>
              <w:pStyle w:val="ListParagraph"/>
              <w:spacing w:after="0" w:line="240" w:lineRule="auto"/>
              <w:ind w:left="360"/>
              <w:contextualSpacing w:val="0"/>
              <w:rPr>
                <w:rFonts w:ascii="Verdana" w:eastAsia="Verdana" w:hAnsi="Verdana" w:cs="Verdana"/>
                <w:sz w:val="16"/>
              </w:rPr>
            </w:pPr>
          </w:p>
          <w:p w:rsidR="008C7702" w:rsidRDefault="008C7702" w:rsidP="00497676">
            <w:pPr>
              <w:pStyle w:val="ListParagraph"/>
              <w:spacing w:after="0" w:line="240" w:lineRule="auto"/>
              <w:ind w:left="360"/>
              <w:contextualSpacing w:val="0"/>
              <w:rPr>
                <w:rFonts w:ascii="Verdana" w:eastAsia="Verdana" w:hAnsi="Verdana" w:cs="Verdana"/>
                <w:sz w:val="16"/>
              </w:rPr>
            </w:pPr>
          </w:p>
          <w:p w:rsidR="008C7702" w:rsidRDefault="008C7702" w:rsidP="00497676">
            <w:pPr>
              <w:pStyle w:val="ListParagraph"/>
              <w:spacing w:after="0" w:line="240" w:lineRule="auto"/>
              <w:ind w:left="360"/>
              <w:contextualSpacing w:val="0"/>
              <w:rPr>
                <w:rFonts w:ascii="Verdana" w:eastAsia="Verdana" w:hAnsi="Verdana" w:cs="Verdana"/>
                <w:sz w:val="16"/>
              </w:rPr>
            </w:pPr>
          </w:p>
          <w:p w:rsidR="008C7702" w:rsidRDefault="008C7702" w:rsidP="00497676">
            <w:pPr>
              <w:pStyle w:val="ListParagraph"/>
              <w:spacing w:after="0" w:line="240" w:lineRule="auto"/>
              <w:ind w:left="360"/>
              <w:contextualSpacing w:val="0"/>
              <w:rPr>
                <w:rFonts w:ascii="Verdana" w:eastAsia="Verdana" w:hAnsi="Verdana" w:cs="Verdana"/>
                <w:sz w:val="16"/>
              </w:rPr>
            </w:pPr>
          </w:p>
          <w:p w:rsidR="008C7702" w:rsidRDefault="008C7702" w:rsidP="00497676">
            <w:pPr>
              <w:pStyle w:val="ListParagraph"/>
              <w:spacing w:after="0" w:line="240" w:lineRule="auto"/>
              <w:ind w:left="360"/>
              <w:contextualSpacing w:val="0"/>
              <w:rPr>
                <w:rFonts w:ascii="Verdana" w:eastAsia="Verdana" w:hAnsi="Verdana" w:cs="Verdana"/>
                <w:sz w:val="16"/>
              </w:rPr>
            </w:pPr>
          </w:p>
          <w:p w:rsidR="0058350A" w:rsidRPr="00120BB2" w:rsidRDefault="0058350A" w:rsidP="00120BB2">
            <w:pPr>
              <w:spacing w:after="0" w:line="240" w:lineRule="auto"/>
              <w:rPr>
                <w:rFonts w:ascii="Verdana" w:eastAsia="Verdana" w:hAnsi="Verdana" w:cs="Verdana"/>
                <w:b/>
                <w:sz w:val="16"/>
                <w:u w:val="single"/>
              </w:rPr>
            </w:pPr>
            <w:r w:rsidRPr="00120BB2">
              <w:rPr>
                <w:rFonts w:ascii="Verdana" w:eastAsia="Verdana" w:hAnsi="Verdana" w:cs="Verdana"/>
                <w:b/>
                <w:sz w:val="16"/>
                <w:u w:val="single"/>
              </w:rPr>
              <w:lastRenderedPageBreak/>
              <w:t>PLACE</w:t>
            </w:r>
          </w:p>
          <w:p w:rsidR="0058350A" w:rsidRDefault="0058350A" w:rsidP="00497676">
            <w:pPr>
              <w:pStyle w:val="ListParagraph"/>
              <w:spacing w:after="0" w:line="240" w:lineRule="auto"/>
              <w:ind w:left="360"/>
              <w:contextualSpacing w:val="0"/>
              <w:rPr>
                <w:rFonts w:ascii="Verdana" w:eastAsia="Verdana" w:hAnsi="Verdana" w:cs="Verdana"/>
                <w:sz w:val="16"/>
              </w:rPr>
            </w:pPr>
          </w:p>
          <w:p w:rsidR="00232B08" w:rsidRDefault="00232B08" w:rsidP="00232B08">
            <w:pPr>
              <w:pStyle w:val="ListParagraph"/>
              <w:numPr>
                <w:ilvl w:val="0"/>
                <w:numId w:val="1"/>
              </w:numPr>
              <w:spacing w:after="0" w:line="240" w:lineRule="auto"/>
              <w:contextualSpacing w:val="0"/>
              <w:rPr>
                <w:rFonts w:ascii="Verdana" w:eastAsia="Verdana" w:hAnsi="Verdana" w:cs="Verdana"/>
                <w:sz w:val="16"/>
              </w:rPr>
            </w:pPr>
            <w:r>
              <w:rPr>
                <w:rFonts w:ascii="Verdana" w:eastAsia="Verdana" w:hAnsi="Verdana" w:cs="Verdana"/>
                <w:sz w:val="16"/>
              </w:rPr>
              <w:t xml:space="preserve">Corporate Communications team continuing to update public, staff and members as information becomes available </w:t>
            </w:r>
          </w:p>
          <w:p w:rsidR="00232B08" w:rsidRPr="00B46626" w:rsidRDefault="00232B08" w:rsidP="00232B08">
            <w:pPr>
              <w:pStyle w:val="Default"/>
              <w:numPr>
                <w:ilvl w:val="0"/>
                <w:numId w:val="1"/>
              </w:numPr>
              <w:rPr>
                <w:rFonts w:ascii="Verdana" w:eastAsia="Verdana" w:hAnsi="Verdana" w:cs="Verdana"/>
                <w:color w:val="auto"/>
                <w:sz w:val="16"/>
                <w:lang w:eastAsia="en-US"/>
              </w:rPr>
            </w:pPr>
            <w:r>
              <w:rPr>
                <w:rFonts w:ascii="Verdana" w:eastAsia="Verdana" w:hAnsi="Verdana" w:cs="Verdana"/>
                <w:color w:val="auto"/>
                <w:sz w:val="16"/>
                <w:lang w:eastAsia="en-US"/>
              </w:rPr>
              <w:t xml:space="preserve">All key holders of Council data can either migrate information back to the UK or have given assurances that we will be able to access our data through them </w:t>
            </w:r>
          </w:p>
          <w:p w:rsidR="008C7702" w:rsidRPr="00612EA3" w:rsidRDefault="008C7702" w:rsidP="008C7702">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Business Continuity Plans updated for Brexit</w:t>
            </w:r>
          </w:p>
          <w:p w:rsidR="008C7702" w:rsidRPr="00612EA3" w:rsidRDefault="008C7702" w:rsidP="008C7702">
            <w:pPr>
              <w:pStyle w:val="ListParagraph"/>
              <w:numPr>
                <w:ilvl w:val="0"/>
                <w:numId w:val="1"/>
              </w:numPr>
              <w:spacing w:after="0" w:line="240" w:lineRule="auto"/>
              <w:contextualSpacing w:val="0"/>
              <w:rPr>
                <w:rFonts w:ascii="Verdana" w:eastAsia="Verdana" w:hAnsi="Verdana" w:cs="Verdana"/>
                <w:sz w:val="16"/>
              </w:rPr>
            </w:pPr>
            <w:r w:rsidRPr="00612EA3">
              <w:rPr>
                <w:rFonts w:ascii="Verdana" w:eastAsia="Verdana" w:hAnsi="Verdana" w:cs="Verdana"/>
                <w:sz w:val="16"/>
              </w:rPr>
              <w:t>Care Home contingency plans in place (homes surveyed to ascertain impact re EU national employees)</w:t>
            </w:r>
          </w:p>
          <w:p w:rsidR="008C7702" w:rsidRDefault="008C7702" w:rsidP="008C7702">
            <w:pPr>
              <w:pStyle w:val="ListParagraph"/>
              <w:numPr>
                <w:ilvl w:val="0"/>
                <w:numId w:val="1"/>
              </w:numPr>
              <w:spacing w:after="0" w:line="240" w:lineRule="auto"/>
              <w:contextualSpacing w:val="0"/>
              <w:rPr>
                <w:rFonts w:ascii="Verdana" w:eastAsia="Verdana" w:hAnsi="Verdana" w:cs="Verdana"/>
                <w:sz w:val="16"/>
              </w:rPr>
            </w:pPr>
            <w:r>
              <w:rPr>
                <w:rFonts w:ascii="Verdana" w:eastAsia="Verdana" w:hAnsi="Verdana" w:cs="Verdana"/>
                <w:sz w:val="16"/>
              </w:rPr>
              <w:t>Preplanning for potential General election in place</w:t>
            </w:r>
          </w:p>
          <w:p w:rsidR="008C7702" w:rsidRDefault="008C7702" w:rsidP="008C7702">
            <w:pPr>
              <w:pStyle w:val="ListParagraph"/>
              <w:numPr>
                <w:ilvl w:val="0"/>
                <w:numId w:val="1"/>
              </w:numPr>
              <w:spacing w:after="0" w:line="240" w:lineRule="auto"/>
              <w:contextualSpacing w:val="0"/>
              <w:rPr>
                <w:rFonts w:ascii="Verdana" w:eastAsia="Verdana" w:hAnsi="Verdana" w:cs="Verdana"/>
                <w:sz w:val="16"/>
              </w:rPr>
            </w:pPr>
            <w:r w:rsidRPr="009631A6">
              <w:rPr>
                <w:rFonts w:ascii="Verdana" w:eastAsia="Verdana" w:hAnsi="Verdana" w:cs="Verdana"/>
                <w:sz w:val="16"/>
              </w:rPr>
              <w:t>Digiteers</w:t>
            </w:r>
            <w:r>
              <w:rPr>
                <w:rFonts w:ascii="Verdana" w:eastAsia="Verdana" w:hAnsi="Verdana" w:cs="Verdana"/>
                <w:sz w:val="16"/>
              </w:rPr>
              <w:t xml:space="preserve"> and </w:t>
            </w:r>
            <w:r w:rsidRPr="0037611C">
              <w:rPr>
                <w:rFonts w:ascii="Verdana" w:eastAsia="Verdana" w:hAnsi="Verdana" w:cs="Verdana"/>
                <w:sz w:val="16"/>
              </w:rPr>
              <w:t>Citizens Advice Bureau</w:t>
            </w:r>
            <w:r>
              <w:rPr>
                <w:rFonts w:ascii="Verdana" w:eastAsia="Verdana" w:hAnsi="Verdana" w:cs="Verdana"/>
                <w:sz w:val="16"/>
              </w:rPr>
              <w:t xml:space="preserve"> available</w:t>
            </w:r>
            <w:r w:rsidRPr="009631A6">
              <w:rPr>
                <w:rFonts w:ascii="Verdana" w:eastAsia="Verdana" w:hAnsi="Verdana" w:cs="Verdana"/>
                <w:sz w:val="16"/>
              </w:rPr>
              <w:t xml:space="preserve"> to support people needing to apply on line for settlement status</w:t>
            </w:r>
          </w:p>
          <w:p w:rsidR="008C7702" w:rsidRPr="00035499" w:rsidRDefault="008C7702" w:rsidP="008C7702">
            <w:pPr>
              <w:pStyle w:val="ListParagraph"/>
              <w:numPr>
                <w:ilvl w:val="0"/>
                <w:numId w:val="1"/>
              </w:numPr>
              <w:spacing w:after="0" w:line="240" w:lineRule="auto"/>
              <w:contextualSpacing w:val="0"/>
              <w:rPr>
                <w:rFonts w:ascii="Verdana" w:eastAsia="Verdana" w:hAnsi="Verdana" w:cs="Verdana"/>
                <w:sz w:val="16"/>
              </w:rPr>
            </w:pPr>
            <w:r w:rsidRPr="00035499">
              <w:rPr>
                <w:rFonts w:ascii="Verdana" w:eastAsia="Verdana" w:hAnsi="Verdana" w:cs="Verdana"/>
                <w:sz w:val="16"/>
              </w:rPr>
              <w:t>Insurance position for school trips has been clarified</w:t>
            </w:r>
          </w:p>
          <w:p w:rsidR="0058350A" w:rsidRDefault="0058350A" w:rsidP="00497676">
            <w:pPr>
              <w:pStyle w:val="ListParagraph"/>
              <w:spacing w:after="0" w:line="240" w:lineRule="auto"/>
              <w:ind w:left="360"/>
              <w:contextualSpacing w:val="0"/>
              <w:rPr>
                <w:rFonts w:ascii="Verdana" w:eastAsia="Verdana" w:hAnsi="Verdana" w:cs="Verdana"/>
                <w:sz w:val="16"/>
              </w:rPr>
            </w:pPr>
          </w:p>
          <w:p w:rsidR="0058350A" w:rsidRDefault="0058350A" w:rsidP="00497676">
            <w:pPr>
              <w:pStyle w:val="ListParagraph"/>
              <w:spacing w:after="0" w:line="240" w:lineRule="auto"/>
              <w:ind w:left="360"/>
              <w:contextualSpacing w:val="0"/>
              <w:rPr>
                <w:rFonts w:ascii="Verdana" w:eastAsia="Verdana" w:hAnsi="Verdana" w:cs="Verdana"/>
                <w:sz w:val="16"/>
              </w:rPr>
            </w:pPr>
          </w:p>
          <w:p w:rsidR="0058350A" w:rsidRPr="00120BB2" w:rsidRDefault="0058350A" w:rsidP="00120BB2">
            <w:pPr>
              <w:spacing w:after="0" w:line="240" w:lineRule="auto"/>
              <w:rPr>
                <w:rFonts w:ascii="Verdana" w:eastAsia="Verdana" w:hAnsi="Verdana" w:cs="Verdana"/>
                <w:b/>
                <w:sz w:val="16"/>
                <w:u w:val="single"/>
              </w:rPr>
            </w:pPr>
            <w:bookmarkStart w:id="0" w:name="_GoBack"/>
            <w:bookmarkEnd w:id="0"/>
            <w:r w:rsidRPr="00120BB2">
              <w:rPr>
                <w:rFonts w:ascii="Verdana" w:eastAsia="Verdana" w:hAnsi="Verdana" w:cs="Verdana"/>
                <w:b/>
                <w:sz w:val="16"/>
                <w:u w:val="single"/>
              </w:rPr>
              <w:t>FUNDING</w:t>
            </w:r>
          </w:p>
          <w:p w:rsidR="00232B08" w:rsidRPr="00035499" w:rsidRDefault="00232B08" w:rsidP="00232B08">
            <w:pPr>
              <w:pStyle w:val="ListParagraph"/>
              <w:numPr>
                <w:ilvl w:val="0"/>
                <w:numId w:val="1"/>
              </w:numPr>
              <w:spacing w:after="0" w:line="240" w:lineRule="auto"/>
              <w:contextualSpacing w:val="0"/>
              <w:rPr>
                <w:rFonts w:ascii="Verdana" w:eastAsia="Verdana" w:hAnsi="Verdana" w:cs="Verdana"/>
                <w:sz w:val="16"/>
              </w:rPr>
            </w:pPr>
            <w:r w:rsidRPr="00035499">
              <w:rPr>
                <w:rFonts w:ascii="Verdana" w:eastAsia="Verdana" w:hAnsi="Verdana" w:cs="Verdana"/>
                <w:sz w:val="16"/>
              </w:rPr>
              <w:t>Council analysis completed to identify contracts based on euros</w:t>
            </w:r>
          </w:p>
          <w:p w:rsidR="00621A2A" w:rsidRDefault="00621A2A" w:rsidP="00497676">
            <w:pPr>
              <w:pStyle w:val="ListParagraph"/>
              <w:spacing w:after="0" w:line="240" w:lineRule="auto"/>
              <w:ind w:left="360"/>
              <w:contextualSpacing w:val="0"/>
              <w:rPr>
                <w:rFonts w:ascii="Verdana" w:eastAsia="Verdana" w:hAnsi="Verdana" w:cs="Verdana"/>
                <w:sz w:val="16"/>
              </w:rPr>
            </w:pPr>
          </w:p>
          <w:p w:rsidR="000B0FEA" w:rsidRPr="0071797B" w:rsidRDefault="000B0FEA" w:rsidP="00497676">
            <w:pPr>
              <w:pStyle w:val="ListParagraph"/>
              <w:spacing w:after="0" w:line="240" w:lineRule="auto"/>
              <w:ind w:left="360"/>
              <w:contextualSpacing w:val="0"/>
              <w:rPr>
                <w:rFonts w:ascii="Verdana" w:eastAsia="Verdana" w:hAnsi="Verdana" w:cs="Verdana"/>
                <w:sz w:val="16"/>
              </w:rPr>
            </w:pPr>
          </w:p>
        </w:tc>
        <w:tc>
          <w:tcPr>
            <w:tcW w:w="1276"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hideMark/>
          </w:tcPr>
          <w:p w:rsidR="00463968" w:rsidRDefault="00463968" w:rsidP="00463968">
            <w:pPr>
              <w:spacing w:after="0" w:line="240" w:lineRule="auto"/>
              <w:jc w:val="center"/>
              <w:rPr>
                <w:rFonts w:ascii="Verdana" w:eastAsia="Verdana" w:hAnsi="Verdana" w:cs="Verdana"/>
                <w:color w:val="000000"/>
                <w:sz w:val="16"/>
              </w:rPr>
            </w:pPr>
            <w:r>
              <w:rPr>
                <w:rFonts w:ascii="Verdana" w:eastAsia="Verdana" w:hAnsi="Verdana" w:cs="Verdana"/>
                <w:color w:val="000000"/>
                <w:sz w:val="16"/>
              </w:rPr>
              <w:lastRenderedPageBreak/>
              <w:t>03</w:t>
            </w:r>
          </w:p>
        </w:tc>
        <w:tc>
          <w:tcPr>
            <w:tcW w:w="992"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hideMark/>
          </w:tcPr>
          <w:p w:rsidR="00463968" w:rsidRDefault="00463968" w:rsidP="00463968">
            <w:pPr>
              <w:spacing w:after="0" w:line="240" w:lineRule="auto"/>
              <w:jc w:val="center"/>
              <w:rPr>
                <w:rFonts w:ascii="Verdana" w:eastAsia="Verdana" w:hAnsi="Verdana" w:cs="Verdana"/>
                <w:color w:val="000000"/>
                <w:sz w:val="16"/>
              </w:rPr>
            </w:pPr>
            <w:r>
              <w:rPr>
                <w:rFonts w:ascii="Verdana" w:eastAsia="Verdana" w:hAnsi="Verdana" w:cs="Verdana"/>
                <w:color w:val="000000"/>
                <w:sz w:val="16"/>
              </w:rPr>
              <w:t>04</w:t>
            </w:r>
          </w:p>
        </w:tc>
        <w:tc>
          <w:tcPr>
            <w:tcW w:w="1135" w:type="dxa"/>
            <w:vMerge w:val="restart"/>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hideMark/>
          </w:tcPr>
          <w:p w:rsidR="00463968" w:rsidRDefault="00463968" w:rsidP="00463968">
            <w:pPr>
              <w:spacing w:after="0" w:line="240" w:lineRule="auto"/>
              <w:jc w:val="center"/>
              <w:rPr>
                <w:rFonts w:ascii="Verdana" w:eastAsia="Verdana" w:hAnsi="Verdana" w:cs="Verdana"/>
                <w:color w:val="000000"/>
                <w:sz w:val="16"/>
              </w:rPr>
            </w:pPr>
            <w:r>
              <w:rPr>
                <w:rFonts w:ascii="Verdana" w:eastAsia="Verdana" w:hAnsi="Verdana" w:cs="Verdana"/>
                <w:color w:val="000000"/>
                <w:sz w:val="16"/>
              </w:rPr>
              <w:t>12</w:t>
            </w:r>
          </w:p>
          <w:p w:rsidR="00463968" w:rsidRDefault="00463968" w:rsidP="00463968">
            <w:pPr>
              <w:spacing w:after="0" w:line="240" w:lineRule="auto"/>
              <w:jc w:val="center"/>
              <w:rPr>
                <w:rFonts w:ascii="Verdana" w:eastAsia="Verdana" w:hAnsi="Verdana" w:cs="Verdana"/>
                <w:color w:val="000000"/>
                <w:sz w:val="16"/>
              </w:rPr>
            </w:pPr>
            <w:r>
              <w:rPr>
                <w:rFonts w:ascii="Verdana" w:eastAsia="Verdana" w:hAnsi="Verdana" w:cs="Verdana"/>
                <w:color w:val="000000"/>
                <w:sz w:val="16"/>
              </w:rPr>
              <w:t>High</w:t>
            </w:r>
          </w:p>
        </w:tc>
      </w:tr>
      <w:tr w:rsidR="00463968" w:rsidTr="00281597">
        <w:tc>
          <w:tcPr>
            <w:tcW w:w="2127" w:type="dxa"/>
            <w:gridSpan w:val="2"/>
            <w:tcBorders>
              <w:top w:val="single" w:sz="8" w:space="0" w:color="78786E"/>
              <w:left w:val="single" w:sz="8" w:space="0" w:color="78786E"/>
              <w:bottom w:val="single" w:sz="8" w:space="0" w:color="78786E"/>
              <w:right w:val="single" w:sz="8" w:space="0" w:color="78786E"/>
            </w:tcBorders>
            <w:shd w:val="clear" w:color="auto" w:fill="FFFFFF"/>
            <w:tcMar>
              <w:top w:w="40" w:type="dxa"/>
              <w:left w:w="40" w:type="dxa"/>
              <w:bottom w:w="40" w:type="dxa"/>
              <w:right w:w="40" w:type="dxa"/>
            </w:tcMar>
            <w:hideMark/>
          </w:tcPr>
          <w:p w:rsidR="00463968" w:rsidRDefault="00463968" w:rsidP="00463968">
            <w:pPr>
              <w:spacing w:after="0" w:line="240" w:lineRule="auto"/>
              <w:rPr>
                <w:rFonts w:ascii="Verdana" w:eastAsia="Verdana" w:hAnsi="Verdana" w:cs="Verdana"/>
                <w:sz w:val="16"/>
              </w:rPr>
            </w:pPr>
            <w:r>
              <w:rPr>
                <w:rFonts w:ascii="Verdana" w:eastAsia="Verdana" w:hAnsi="Verdana" w:cs="Verdana"/>
                <w:sz w:val="16"/>
                <w:u w:val="single"/>
              </w:rPr>
              <w:t>Context</w:t>
            </w:r>
            <w:r>
              <w:rPr>
                <w:rFonts w:ascii="Verdana" w:eastAsia="Verdana" w:hAnsi="Verdana" w:cs="Verdana"/>
                <w:sz w:val="16"/>
              </w:rPr>
              <w:t xml:space="preserve">: </w:t>
            </w:r>
          </w:p>
          <w:p w:rsidR="00463968" w:rsidRPr="00463968" w:rsidRDefault="00463968" w:rsidP="00463968">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sz w:val="16"/>
              </w:rPr>
              <w:t>Potential for a ‘no deal’ Brexit</w:t>
            </w:r>
          </w:p>
          <w:p w:rsidR="00463968" w:rsidRDefault="00463968" w:rsidP="00463968">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color w:val="000000"/>
                <w:sz w:val="16"/>
              </w:rPr>
              <w:t>Workforce implications</w:t>
            </w:r>
          </w:p>
          <w:p w:rsidR="00072C0F" w:rsidRDefault="00072C0F" w:rsidP="00072C0F">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color w:val="000000"/>
                <w:sz w:val="16"/>
              </w:rPr>
              <w:t>Goods/ supply implications</w:t>
            </w:r>
          </w:p>
          <w:p w:rsidR="00072C0F" w:rsidRDefault="00072C0F" w:rsidP="00072C0F">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color w:val="000000"/>
                <w:sz w:val="16"/>
              </w:rPr>
              <w:t>Funding implications</w:t>
            </w:r>
          </w:p>
          <w:p w:rsidR="00463968" w:rsidRDefault="00463968" w:rsidP="00463968">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color w:val="000000"/>
                <w:sz w:val="16"/>
              </w:rPr>
              <w:t>Contractual implications</w:t>
            </w:r>
          </w:p>
          <w:p w:rsidR="00463968" w:rsidRDefault="00F31FF8" w:rsidP="00463968">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color w:val="000000"/>
                <w:sz w:val="16"/>
              </w:rPr>
              <w:t>Legislative implications</w:t>
            </w:r>
          </w:p>
          <w:p w:rsidR="00F31FF8" w:rsidRDefault="00F31FF8" w:rsidP="00463968">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color w:val="000000"/>
                <w:sz w:val="16"/>
              </w:rPr>
              <w:t>Service implications</w:t>
            </w:r>
          </w:p>
          <w:p w:rsidR="00F31FF8" w:rsidRDefault="00F31FF8" w:rsidP="00463968">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color w:val="000000"/>
                <w:sz w:val="16"/>
              </w:rPr>
              <w:t>Import/ export implications</w:t>
            </w:r>
            <w:r w:rsidR="006908B5">
              <w:rPr>
                <w:rFonts w:ascii="Verdana" w:eastAsia="Verdana" w:hAnsi="Verdana" w:cs="Verdana"/>
                <w:color w:val="000000"/>
                <w:sz w:val="16"/>
              </w:rPr>
              <w:t xml:space="preserve"> – increased certification required and impact on border control and regulatory services</w:t>
            </w:r>
          </w:p>
          <w:p w:rsidR="006908B5" w:rsidRDefault="00C12D9D" w:rsidP="0087333F">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color w:val="000000"/>
                <w:sz w:val="16"/>
              </w:rPr>
              <w:t>Public uncertainty</w:t>
            </w:r>
          </w:p>
          <w:p w:rsidR="00341EA7" w:rsidRDefault="00341EA7" w:rsidP="0087333F">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color w:val="000000"/>
                <w:sz w:val="16"/>
              </w:rPr>
              <w:t xml:space="preserve">Preparedness for a possible </w:t>
            </w:r>
            <w:r w:rsidR="00586175">
              <w:rPr>
                <w:rFonts w:ascii="Verdana" w:eastAsia="Verdana" w:hAnsi="Verdana" w:cs="Verdana"/>
                <w:color w:val="000000"/>
                <w:sz w:val="16"/>
              </w:rPr>
              <w:t>General Election taking place</w:t>
            </w:r>
          </w:p>
          <w:p w:rsidR="0090534C" w:rsidRPr="0087333F" w:rsidRDefault="0090534C" w:rsidP="0087333F">
            <w:pPr>
              <w:pStyle w:val="ListParagraph"/>
              <w:numPr>
                <w:ilvl w:val="0"/>
                <w:numId w:val="2"/>
              </w:numPr>
              <w:spacing w:after="0" w:line="240" w:lineRule="auto"/>
              <w:ind w:left="97" w:hanging="97"/>
              <w:contextualSpacing w:val="0"/>
              <w:rPr>
                <w:rFonts w:ascii="Verdana" w:eastAsia="Verdana" w:hAnsi="Verdana" w:cs="Verdana"/>
                <w:color w:val="000000"/>
                <w:sz w:val="16"/>
              </w:rPr>
            </w:pPr>
            <w:r>
              <w:rPr>
                <w:rFonts w:ascii="Verdana" w:eastAsia="Verdana" w:hAnsi="Verdana" w:cs="Verdana"/>
                <w:color w:val="000000"/>
                <w:sz w:val="16"/>
              </w:rPr>
              <w:t>Potential data access risk (European servers)</w:t>
            </w:r>
          </w:p>
        </w:tc>
        <w:tc>
          <w:tcPr>
            <w:tcW w:w="1701" w:type="dxa"/>
            <w:vMerge/>
            <w:tcBorders>
              <w:top w:val="single" w:sz="8" w:space="0" w:color="78786E"/>
              <w:left w:val="single" w:sz="8" w:space="0" w:color="78786E"/>
              <w:bottom w:val="single" w:sz="8" w:space="0" w:color="78786E"/>
              <w:right w:val="single" w:sz="8" w:space="0" w:color="78786E"/>
            </w:tcBorders>
            <w:vAlign w:val="center"/>
            <w:hideMark/>
          </w:tcPr>
          <w:p w:rsidR="00463968" w:rsidRDefault="00463968" w:rsidP="00463968">
            <w:pPr>
              <w:spacing w:after="0" w:line="240" w:lineRule="auto"/>
              <w:rPr>
                <w:rFonts w:ascii="Verdana" w:eastAsia="Verdana" w:hAnsi="Verdana" w:cs="Verdana"/>
                <w:color w:val="000000"/>
                <w:sz w:val="16"/>
                <w:szCs w:val="24"/>
              </w:rPr>
            </w:pPr>
          </w:p>
        </w:tc>
        <w:tc>
          <w:tcPr>
            <w:tcW w:w="992" w:type="dxa"/>
            <w:vMerge/>
            <w:tcBorders>
              <w:top w:val="single" w:sz="8" w:space="0" w:color="78786E"/>
              <w:left w:val="single" w:sz="8" w:space="0" w:color="78786E"/>
              <w:bottom w:val="single" w:sz="8" w:space="0" w:color="78786E"/>
              <w:right w:val="single" w:sz="8" w:space="0" w:color="78786E"/>
            </w:tcBorders>
            <w:vAlign w:val="center"/>
            <w:hideMark/>
          </w:tcPr>
          <w:p w:rsidR="00463968" w:rsidRDefault="00463968" w:rsidP="00463968">
            <w:pPr>
              <w:spacing w:after="0" w:line="240" w:lineRule="auto"/>
              <w:rPr>
                <w:rFonts w:ascii="Verdana" w:eastAsia="Verdana" w:hAnsi="Verdana" w:cs="Verdana"/>
                <w:sz w:val="16"/>
              </w:rPr>
            </w:pPr>
          </w:p>
        </w:tc>
        <w:tc>
          <w:tcPr>
            <w:tcW w:w="7513" w:type="dxa"/>
            <w:vMerge/>
            <w:tcBorders>
              <w:top w:val="single" w:sz="8" w:space="0" w:color="78786E"/>
              <w:left w:val="single" w:sz="8" w:space="0" w:color="78786E"/>
              <w:bottom w:val="single" w:sz="8" w:space="0" w:color="78786E"/>
              <w:right w:val="single" w:sz="8" w:space="0" w:color="78786E"/>
            </w:tcBorders>
            <w:vAlign w:val="center"/>
            <w:hideMark/>
          </w:tcPr>
          <w:p w:rsidR="00463968" w:rsidRDefault="00463968" w:rsidP="00463968">
            <w:pPr>
              <w:spacing w:after="0" w:line="240" w:lineRule="auto"/>
              <w:rPr>
                <w:rFonts w:ascii="Verdana" w:eastAsia="Verdana" w:hAnsi="Verdana" w:cs="Verdana"/>
                <w:sz w:val="16"/>
              </w:rPr>
            </w:pPr>
          </w:p>
        </w:tc>
        <w:tc>
          <w:tcPr>
            <w:tcW w:w="1276" w:type="dxa"/>
            <w:vMerge/>
            <w:tcBorders>
              <w:top w:val="single" w:sz="8" w:space="0" w:color="78786E"/>
              <w:left w:val="single" w:sz="8" w:space="0" w:color="78786E"/>
              <w:bottom w:val="single" w:sz="8" w:space="0" w:color="78786E"/>
              <w:right w:val="single" w:sz="8" w:space="0" w:color="78786E"/>
            </w:tcBorders>
            <w:vAlign w:val="center"/>
            <w:hideMark/>
          </w:tcPr>
          <w:p w:rsidR="00463968" w:rsidRDefault="00463968" w:rsidP="00463968">
            <w:pPr>
              <w:spacing w:after="0" w:line="240" w:lineRule="auto"/>
              <w:rPr>
                <w:rFonts w:ascii="Verdana" w:eastAsia="Verdana" w:hAnsi="Verdana" w:cs="Verdana"/>
                <w:color w:val="000000"/>
                <w:sz w:val="16"/>
              </w:rPr>
            </w:pPr>
          </w:p>
        </w:tc>
        <w:tc>
          <w:tcPr>
            <w:tcW w:w="992" w:type="dxa"/>
            <w:vMerge/>
            <w:tcBorders>
              <w:top w:val="single" w:sz="8" w:space="0" w:color="78786E"/>
              <w:left w:val="single" w:sz="8" w:space="0" w:color="78786E"/>
              <w:bottom w:val="single" w:sz="8" w:space="0" w:color="78786E"/>
              <w:right w:val="single" w:sz="8" w:space="0" w:color="78786E"/>
            </w:tcBorders>
            <w:vAlign w:val="center"/>
            <w:hideMark/>
          </w:tcPr>
          <w:p w:rsidR="00463968" w:rsidRDefault="00463968" w:rsidP="00463968">
            <w:pPr>
              <w:spacing w:after="0" w:line="240" w:lineRule="auto"/>
              <w:rPr>
                <w:rFonts w:ascii="Verdana" w:eastAsia="Verdana" w:hAnsi="Verdana" w:cs="Verdana"/>
                <w:color w:val="000000"/>
                <w:sz w:val="16"/>
              </w:rPr>
            </w:pPr>
          </w:p>
        </w:tc>
        <w:tc>
          <w:tcPr>
            <w:tcW w:w="1135" w:type="dxa"/>
            <w:vMerge/>
            <w:tcBorders>
              <w:top w:val="single" w:sz="8" w:space="0" w:color="78786E"/>
              <w:left w:val="single" w:sz="8" w:space="0" w:color="78786E"/>
              <w:bottom w:val="single" w:sz="8" w:space="0" w:color="78786E"/>
              <w:right w:val="single" w:sz="8" w:space="0" w:color="78786E"/>
            </w:tcBorders>
            <w:vAlign w:val="center"/>
            <w:hideMark/>
          </w:tcPr>
          <w:p w:rsidR="00463968" w:rsidRDefault="00463968" w:rsidP="00463968">
            <w:pPr>
              <w:spacing w:after="0" w:line="240" w:lineRule="auto"/>
              <w:rPr>
                <w:rFonts w:ascii="Verdana" w:eastAsia="Verdana" w:hAnsi="Verdana" w:cs="Verdana"/>
                <w:color w:val="000000"/>
                <w:sz w:val="16"/>
              </w:rPr>
            </w:pPr>
          </w:p>
        </w:tc>
      </w:tr>
      <w:tr w:rsidR="009345CB" w:rsidTr="008C7702">
        <w:tc>
          <w:tcPr>
            <w:tcW w:w="4820" w:type="dxa"/>
            <w:gridSpan w:val="4"/>
            <w:tcBorders>
              <w:top w:val="single" w:sz="8" w:space="0" w:color="78786E"/>
              <w:left w:val="single" w:sz="8" w:space="0" w:color="78786E"/>
              <w:bottom w:val="single" w:sz="8" w:space="0" w:color="78786E"/>
              <w:right w:val="single" w:sz="8" w:space="0" w:color="78786E"/>
            </w:tcBorders>
            <w:shd w:val="clear" w:color="auto" w:fill="E6E6FA"/>
            <w:tcMar>
              <w:top w:w="40" w:type="dxa"/>
              <w:left w:w="40" w:type="dxa"/>
              <w:bottom w:w="40" w:type="dxa"/>
              <w:right w:w="40" w:type="dxa"/>
            </w:tcMar>
            <w:hideMark/>
          </w:tcPr>
          <w:p w:rsidR="009345CB" w:rsidRDefault="009345CB" w:rsidP="00463968">
            <w:pPr>
              <w:spacing w:after="0" w:line="240" w:lineRule="auto"/>
              <w:rPr>
                <w:rFonts w:ascii="Verdana" w:eastAsia="Verdana" w:hAnsi="Verdana" w:cs="Verdana"/>
                <w:b/>
                <w:color w:val="000000"/>
                <w:sz w:val="16"/>
              </w:rPr>
            </w:pPr>
            <w:r>
              <w:rPr>
                <w:rFonts w:ascii="Verdana" w:eastAsia="Verdana" w:hAnsi="Verdana" w:cs="Verdana"/>
                <w:b/>
                <w:color w:val="000000"/>
                <w:sz w:val="16"/>
              </w:rPr>
              <w:t>Linked Actions</w:t>
            </w:r>
          </w:p>
        </w:tc>
        <w:tc>
          <w:tcPr>
            <w:tcW w:w="7513" w:type="dxa"/>
            <w:tcBorders>
              <w:top w:val="single" w:sz="8" w:space="0" w:color="78786E"/>
              <w:left w:val="single" w:sz="8" w:space="0" w:color="78786E"/>
              <w:bottom w:val="single" w:sz="8" w:space="0" w:color="78786E"/>
              <w:right w:val="single" w:sz="8" w:space="0" w:color="78786E"/>
            </w:tcBorders>
            <w:shd w:val="clear" w:color="auto" w:fill="E6E6FA"/>
            <w:tcMar>
              <w:top w:w="40" w:type="dxa"/>
              <w:left w:w="40" w:type="dxa"/>
              <w:bottom w:w="40" w:type="dxa"/>
              <w:right w:w="40" w:type="dxa"/>
            </w:tcMar>
          </w:tcPr>
          <w:p w:rsidR="009345CB" w:rsidRDefault="009345CB" w:rsidP="00463968">
            <w:pPr>
              <w:spacing w:after="0" w:line="240" w:lineRule="auto"/>
              <w:rPr>
                <w:rFonts w:ascii="Verdana" w:eastAsia="Verdana" w:hAnsi="Verdana" w:cs="Verdana"/>
                <w:b/>
                <w:color w:val="000000"/>
                <w:sz w:val="16"/>
              </w:rPr>
            </w:pPr>
          </w:p>
        </w:tc>
        <w:tc>
          <w:tcPr>
            <w:tcW w:w="1276" w:type="dxa"/>
            <w:tcBorders>
              <w:top w:val="single" w:sz="8" w:space="0" w:color="78786E"/>
              <w:left w:val="single" w:sz="8" w:space="0" w:color="78786E"/>
              <w:bottom w:val="single" w:sz="8" w:space="0" w:color="78786E"/>
              <w:right w:val="single" w:sz="8" w:space="0" w:color="78786E"/>
            </w:tcBorders>
            <w:shd w:val="clear" w:color="auto" w:fill="E6E6FA"/>
            <w:tcMar>
              <w:top w:w="40" w:type="dxa"/>
              <w:left w:w="40" w:type="dxa"/>
              <w:bottom w:w="40" w:type="dxa"/>
              <w:right w:w="40" w:type="dxa"/>
            </w:tcMar>
            <w:hideMark/>
          </w:tcPr>
          <w:p w:rsidR="009345CB" w:rsidRDefault="009345CB" w:rsidP="00463968">
            <w:pPr>
              <w:spacing w:after="0" w:line="240" w:lineRule="auto"/>
              <w:rPr>
                <w:rFonts w:ascii="Verdana" w:eastAsia="Verdana" w:hAnsi="Verdana" w:cs="Verdana"/>
                <w:b/>
                <w:color w:val="000000"/>
                <w:sz w:val="16"/>
              </w:rPr>
            </w:pPr>
            <w:r>
              <w:rPr>
                <w:rFonts w:ascii="Verdana" w:eastAsia="Verdana" w:hAnsi="Verdana" w:cs="Verdana"/>
                <w:b/>
                <w:color w:val="000000"/>
                <w:sz w:val="16"/>
              </w:rPr>
              <w:t>Assigned</w:t>
            </w:r>
          </w:p>
        </w:tc>
        <w:tc>
          <w:tcPr>
            <w:tcW w:w="992" w:type="dxa"/>
            <w:tcBorders>
              <w:top w:val="single" w:sz="8" w:space="0" w:color="78786E"/>
              <w:left w:val="single" w:sz="8" w:space="0" w:color="78786E"/>
              <w:bottom w:val="single" w:sz="8" w:space="0" w:color="78786E"/>
              <w:right w:val="single" w:sz="8" w:space="0" w:color="78786E"/>
            </w:tcBorders>
            <w:shd w:val="clear" w:color="auto" w:fill="E6E6FA"/>
            <w:tcMar>
              <w:top w:w="40" w:type="dxa"/>
              <w:left w:w="40" w:type="dxa"/>
              <w:bottom w:w="40" w:type="dxa"/>
              <w:right w:w="40" w:type="dxa"/>
            </w:tcMar>
            <w:hideMark/>
          </w:tcPr>
          <w:p w:rsidR="009345CB" w:rsidRDefault="009345CB" w:rsidP="00463968">
            <w:pPr>
              <w:spacing w:after="0" w:line="240" w:lineRule="auto"/>
              <w:jc w:val="center"/>
              <w:rPr>
                <w:rFonts w:ascii="Verdana" w:eastAsia="Verdana" w:hAnsi="Verdana" w:cs="Verdana"/>
                <w:b/>
                <w:color w:val="000000"/>
                <w:sz w:val="16"/>
              </w:rPr>
            </w:pPr>
            <w:r>
              <w:rPr>
                <w:rFonts w:ascii="Verdana" w:eastAsia="Verdana" w:hAnsi="Verdana" w:cs="Verdana"/>
                <w:b/>
                <w:color w:val="000000"/>
                <w:sz w:val="16"/>
              </w:rPr>
              <w:t>Due Date</w:t>
            </w:r>
          </w:p>
        </w:tc>
        <w:tc>
          <w:tcPr>
            <w:tcW w:w="1135" w:type="dxa"/>
            <w:tcBorders>
              <w:top w:val="single" w:sz="8" w:space="0" w:color="78786E"/>
              <w:left w:val="single" w:sz="8" w:space="0" w:color="78786E"/>
              <w:bottom w:val="single" w:sz="8" w:space="0" w:color="78786E"/>
              <w:right w:val="single" w:sz="8" w:space="0" w:color="78786E"/>
            </w:tcBorders>
            <w:shd w:val="clear" w:color="auto" w:fill="E6E6FA"/>
            <w:tcMar>
              <w:top w:w="40" w:type="dxa"/>
              <w:left w:w="40" w:type="dxa"/>
              <w:bottom w:w="40" w:type="dxa"/>
              <w:right w:w="40" w:type="dxa"/>
            </w:tcMar>
            <w:hideMark/>
          </w:tcPr>
          <w:p w:rsidR="009345CB" w:rsidRDefault="009345CB" w:rsidP="00463968">
            <w:pPr>
              <w:spacing w:after="0" w:line="240" w:lineRule="auto"/>
              <w:jc w:val="center"/>
              <w:rPr>
                <w:rFonts w:ascii="Verdana" w:eastAsia="Verdana" w:hAnsi="Verdana" w:cs="Verdana"/>
                <w:b/>
                <w:color w:val="000000"/>
                <w:sz w:val="16"/>
              </w:rPr>
            </w:pPr>
            <w:r>
              <w:rPr>
                <w:rFonts w:ascii="Verdana" w:eastAsia="Verdana" w:hAnsi="Verdana" w:cs="Verdana"/>
                <w:b/>
                <w:color w:val="000000"/>
                <w:sz w:val="16"/>
              </w:rPr>
              <w:t>Status</w:t>
            </w:r>
          </w:p>
        </w:tc>
      </w:tr>
      <w:tr w:rsidR="002159BA" w:rsidRPr="009B6971" w:rsidTr="00035499">
        <w:tc>
          <w:tcPr>
            <w:tcW w:w="15736" w:type="dxa"/>
            <w:gridSpan w:val="8"/>
            <w:tcBorders>
              <w:top w:val="single" w:sz="8" w:space="0" w:color="78786E"/>
              <w:left w:val="single" w:sz="8" w:space="0" w:color="78786E"/>
              <w:bottom w:val="single" w:sz="8" w:space="0" w:color="78786E"/>
              <w:right w:val="single" w:sz="8" w:space="0" w:color="78786E"/>
            </w:tcBorders>
            <w:shd w:val="clear" w:color="auto" w:fill="D9E2F3" w:themeFill="accent1" w:themeFillTint="33"/>
            <w:tcMar>
              <w:top w:w="40" w:type="dxa"/>
              <w:left w:w="40" w:type="dxa"/>
              <w:bottom w:w="40" w:type="dxa"/>
              <w:right w:w="40" w:type="dxa"/>
            </w:tcMar>
          </w:tcPr>
          <w:p w:rsidR="002159BA" w:rsidRPr="009B6971" w:rsidRDefault="002159BA" w:rsidP="002159BA">
            <w:pPr>
              <w:spacing w:after="0" w:line="240" w:lineRule="auto"/>
              <w:rPr>
                <w:rFonts w:ascii="Verdana" w:eastAsia="Verdana" w:hAnsi="Verdana" w:cs="Verdana"/>
                <w:b/>
                <w:color w:val="000000"/>
                <w:sz w:val="18"/>
                <w:szCs w:val="18"/>
              </w:rPr>
            </w:pPr>
            <w:r w:rsidRPr="009B6971">
              <w:rPr>
                <w:b/>
                <w:i/>
                <w:sz w:val="18"/>
                <w:szCs w:val="18"/>
              </w:rPr>
              <w:t xml:space="preserve">Workforce </w:t>
            </w:r>
          </w:p>
        </w:tc>
      </w:tr>
      <w:tr w:rsidR="00125C6A" w:rsidTr="00281597">
        <w:trPr>
          <w:trHeight w:val="235"/>
        </w:trPr>
        <w:tc>
          <w:tcPr>
            <w:tcW w:w="425"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125C6A" w:rsidRPr="000B60B3" w:rsidRDefault="00125C6A" w:rsidP="00125C6A">
            <w:pPr>
              <w:pStyle w:val="Default"/>
              <w:numPr>
                <w:ilvl w:val="0"/>
                <w:numId w:val="7"/>
              </w:numPr>
              <w:rPr>
                <w:rFonts w:ascii="Verdana" w:eastAsia="Verdana" w:hAnsi="Verdana" w:cs="Verdana"/>
                <w:sz w:val="16"/>
                <w:lang w:eastAsia="en-US"/>
              </w:rPr>
            </w:pPr>
          </w:p>
        </w:tc>
        <w:tc>
          <w:tcPr>
            <w:tcW w:w="4395" w:type="dxa"/>
            <w:gridSpan w:val="3"/>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125C6A" w:rsidRPr="0082255F" w:rsidRDefault="008C7702" w:rsidP="00125C6A">
            <w:pPr>
              <w:spacing w:after="0" w:line="240" w:lineRule="auto"/>
              <w:rPr>
                <w:rFonts w:ascii="Verdana" w:eastAsia="Verdana" w:hAnsi="Verdana" w:cs="Verdana"/>
                <w:sz w:val="16"/>
                <w:highlight w:val="yellow"/>
              </w:rPr>
            </w:pPr>
            <w:r>
              <w:rPr>
                <w:rFonts w:ascii="Verdana" w:eastAsia="Verdana" w:hAnsi="Verdana" w:cs="Verdana"/>
                <w:sz w:val="16"/>
              </w:rPr>
              <w:t>All Actions Complete</w:t>
            </w:r>
          </w:p>
        </w:tc>
        <w:tc>
          <w:tcPr>
            <w:tcW w:w="7513"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125C6A" w:rsidRPr="0082255F" w:rsidRDefault="00125C6A" w:rsidP="00125C6A">
            <w:pPr>
              <w:spacing w:after="0" w:line="240" w:lineRule="auto"/>
              <w:rPr>
                <w:rFonts w:ascii="Verdana" w:eastAsia="Verdana" w:hAnsi="Verdana" w:cs="Verdana"/>
                <w:sz w:val="16"/>
              </w:rPr>
            </w:pPr>
          </w:p>
        </w:tc>
        <w:tc>
          <w:tcPr>
            <w:tcW w:w="1276"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125C6A" w:rsidRDefault="00125C6A" w:rsidP="00125C6A">
            <w:pPr>
              <w:pStyle w:val="Default"/>
              <w:rPr>
                <w:rFonts w:ascii="Verdana" w:eastAsia="Verdana" w:hAnsi="Verdana" w:cs="Verdana"/>
                <w:sz w:val="16"/>
                <w:lang w:eastAsia="en-US"/>
              </w:rPr>
            </w:pPr>
          </w:p>
        </w:tc>
        <w:tc>
          <w:tcPr>
            <w:tcW w:w="992"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125C6A" w:rsidRDefault="00125C6A" w:rsidP="00125C6A">
            <w:pPr>
              <w:pStyle w:val="Default"/>
              <w:rPr>
                <w:rFonts w:ascii="Verdana" w:eastAsia="Verdana" w:hAnsi="Verdana" w:cs="Verdana"/>
                <w:sz w:val="16"/>
                <w:lang w:eastAsia="en-US"/>
              </w:rPr>
            </w:pPr>
          </w:p>
        </w:tc>
        <w:tc>
          <w:tcPr>
            <w:tcW w:w="1135"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125C6A" w:rsidRDefault="00125C6A" w:rsidP="00125C6A">
            <w:pPr>
              <w:spacing w:after="0" w:line="240" w:lineRule="auto"/>
              <w:jc w:val="center"/>
            </w:pPr>
          </w:p>
        </w:tc>
      </w:tr>
      <w:tr w:rsidR="00125C6A" w:rsidRPr="009B6971" w:rsidTr="00035499">
        <w:tc>
          <w:tcPr>
            <w:tcW w:w="15736" w:type="dxa"/>
            <w:gridSpan w:val="8"/>
            <w:tcBorders>
              <w:top w:val="single" w:sz="8" w:space="0" w:color="78786E"/>
              <w:left w:val="single" w:sz="8" w:space="0" w:color="78786E"/>
              <w:bottom w:val="single" w:sz="8" w:space="0" w:color="78786E"/>
              <w:right w:val="single" w:sz="8" w:space="0" w:color="78786E"/>
            </w:tcBorders>
            <w:shd w:val="clear" w:color="auto" w:fill="D9E2F3" w:themeFill="accent1" w:themeFillTint="33"/>
            <w:tcMar>
              <w:top w:w="40" w:type="dxa"/>
              <w:left w:w="40" w:type="dxa"/>
              <w:bottom w:w="40" w:type="dxa"/>
              <w:right w:w="40" w:type="dxa"/>
            </w:tcMar>
          </w:tcPr>
          <w:p w:rsidR="00125C6A" w:rsidRPr="0082255F" w:rsidRDefault="00125C6A" w:rsidP="00125C6A">
            <w:pPr>
              <w:spacing w:after="0" w:line="240" w:lineRule="auto"/>
              <w:rPr>
                <w:rFonts w:ascii="Verdana" w:eastAsia="Verdana" w:hAnsi="Verdana" w:cs="Verdana"/>
                <w:b/>
                <w:color w:val="000000"/>
                <w:sz w:val="18"/>
                <w:szCs w:val="18"/>
              </w:rPr>
            </w:pPr>
            <w:r w:rsidRPr="0082255F">
              <w:rPr>
                <w:b/>
                <w:sz w:val="18"/>
                <w:szCs w:val="18"/>
              </w:rPr>
              <w:t>Goods, Services &amp; Supply Chains</w:t>
            </w:r>
          </w:p>
        </w:tc>
      </w:tr>
      <w:tr w:rsidR="006D37B5" w:rsidTr="006C12BA">
        <w:trPr>
          <w:trHeight w:val="235"/>
        </w:trPr>
        <w:tc>
          <w:tcPr>
            <w:tcW w:w="425"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Pr="000B60B3" w:rsidRDefault="006D37B5" w:rsidP="006D37B5">
            <w:pPr>
              <w:pStyle w:val="Default"/>
              <w:numPr>
                <w:ilvl w:val="0"/>
                <w:numId w:val="7"/>
              </w:numPr>
              <w:rPr>
                <w:rFonts w:ascii="Verdana" w:eastAsia="Verdana" w:hAnsi="Verdana" w:cs="Verdana"/>
                <w:sz w:val="16"/>
                <w:lang w:eastAsia="en-US"/>
              </w:rPr>
            </w:pPr>
          </w:p>
        </w:tc>
        <w:tc>
          <w:tcPr>
            <w:tcW w:w="4395" w:type="dxa"/>
            <w:gridSpan w:val="3"/>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Pr="0082255F" w:rsidRDefault="008C7702" w:rsidP="006D37B5">
            <w:pPr>
              <w:spacing w:after="0" w:line="240" w:lineRule="auto"/>
              <w:rPr>
                <w:rFonts w:ascii="Verdana" w:eastAsia="Verdana" w:hAnsi="Verdana" w:cs="Verdana"/>
                <w:sz w:val="16"/>
              </w:rPr>
            </w:pPr>
            <w:r>
              <w:rPr>
                <w:rFonts w:ascii="Verdana" w:eastAsia="Verdana" w:hAnsi="Verdana" w:cs="Verdana"/>
                <w:sz w:val="16"/>
              </w:rPr>
              <w:t>All Actions Complete</w:t>
            </w:r>
          </w:p>
        </w:tc>
        <w:tc>
          <w:tcPr>
            <w:tcW w:w="7513"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F11E76" w:rsidRPr="0082255F" w:rsidRDefault="00F11E76" w:rsidP="006D37B5">
            <w:pPr>
              <w:spacing w:after="0" w:line="240" w:lineRule="auto"/>
              <w:rPr>
                <w:rFonts w:ascii="Verdana" w:eastAsia="Verdana" w:hAnsi="Verdana" w:cs="Verdana"/>
                <w:sz w:val="16"/>
              </w:rPr>
            </w:pPr>
          </w:p>
        </w:tc>
        <w:tc>
          <w:tcPr>
            <w:tcW w:w="1276"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Default="006D37B5" w:rsidP="006D37B5">
            <w:pPr>
              <w:pStyle w:val="Default"/>
              <w:rPr>
                <w:rFonts w:ascii="Verdana" w:eastAsia="Verdana" w:hAnsi="Verdana" w:cs="Verdana"/>
                <w:sz w:val="16"/>
                <w:lang w:eastAsia="en-US"/>
              </w:rPr>
            </w:pPr>
          </w:p>
        </w:tc>
        <w:tc>
          <w:tcPr>
            <w:tcW w:w="992"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Default="006D37B5" w:rsidP="006D37B5">
            <w:pPr>
              <w:pStyle w:val="Default"/>
              <w:rPr>
                <w:rFonts w:ascii="Verdana" w:eastAsia="Verdana" w:hAnsi="Verdana" w:cs="Verdana"/>
                <w:sz w:val="16"/>
                <w:lang w:eastAsia="en-US"/>
              </w:rPr>
            </w:pPr>
          </w:p>
        </w:tc>
        <w:tc>
          <w:tcPr>
            <w:tcW w:w="1135"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Pr="006B0E56" w:rsidRDefault="006D37B5" w:rsidP="006D37B5">
            <w:pPr>
              <w:spacing w:after="0" w:line="240" w:lineRule="auto"/>
              <w:jc w:val="center"/>
              <w:rPr>
                <w:rFonts w:ascii="Verdana" w:eastAsia="Verdana" w:hAnsi="Verdana" w:cs="Verdana"/>
                <w:noProof/>
                <w:color w:val="000000"/>
                <w:sz w:val="16"/>
                <w:lang w:eastAsia="en-GB"/>
              </w:rPr>
            </w:pPr>
          </w:p>
        </w:tc>
      </w:tr>
      <w:tr w:rsidR="006D37B5" w:rsidRPr="009B6971" w:rsidTr="00035499">
        <w:tc>
          <w:tcPr>
            <w:tcW w:w="15736" w:type="dxa"/>
            <w:gridSpan w:val="8"/>
            <w:tcBorders>
              <w:top w:val="single" w:sz="8" w:space="0" w:color="78786E"/>
              <w:left w:val="single" w:sz="8" w:space="0" w:color="78786E"/>
              <w:bottom w:val="single" w:sz="8" w:space="0" w:color="78786E"/>
              <w:right w:val="single" w:sz="8" w:space="0" w:color="78786E"/>
            </w:tcBorders>
            <w:shd w:val="clear" w:color="auto" w:fill="D9E2F3" w:themeFill="accent1" w:themeFillTint="33"/>
            <w:tcMar>
              <w:top w:w="40" w:type="dxa"/>
              <w:left w:w="40" w:type="dxa"/>
              <w:bottom w:w="40" w:type="dxa"/>
              <w:right w:w="40" w:type="dxa"/>
            </w:tcMar>
          </w:tcPr>
          <w:p w:rsidR="006D37B5" w:rsidRPr="0082255F" w:rsidRDefault="006D37B5" w:rsidP="006D37B5">
            <w:pPr>
              <w:spacing w:after="0" w:line="240" w:lineRule="auto"/>
              <w:rPr>
                <w:rFonts w:ascii="Verdana" w:eastAsia="Verdana" w:hAnsi="Verdana" w:cs="Verdana"/>
                <w:b/>
                <w:sz w:val="18"/>
                <w:szCs w:val="18"/>
              </w:rPr>
            </w:pPr>
            <w:r w:rsidRPr="0082255F">
              <w:rPr>
                <w:b/>
                <w:sz w:val="18"/>
                <w:szCs w:val="18"/>
              </w:rPr>
              <w:t>Place</w:t>
            </w:r>
          </w:p>
        </w:tc>
      </w:tr>
      <w:tr w:rsidR="006D37B5" w:rsidTr="00281597">
        <w:trPr>
          <w:trHeight w:val="235"/>
        </w:trPr>
        <w:tc>
          <w:tcPr>
            <w:tcW w:w="425"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Pr="000B60B3" w:rsidRDefault="006D37B5" w:rsidP="006D37B5">
            <w:pPr>
              <w:pStyle w:val="Default"/>
              <w:numPr>
                <w:ilvl w:val="0"/>
                <w:numId w:val="7"/>
              </w:numPr>
              <w:rPr>
                <w:rFonts w:ascii="Verdana" w:eastAsia="Verdana" w:hAnsi="Verdana" w:cs="Verdana"/>
                <w:sz w:val="16"/>
                <w:lang w:eastAsia="en-US"/>
              </w:rPr>
            </w:pPr>
          </w:p>
        </w:tc>
        <w:tc>
          <w:tcPr>
            <w:tcW w:w="4395" w:type="dxa"/>
            <w:gridSpan w:val="3"/>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Pr="0082255F" w:rsidRDefault="008C7702" w:rsidP="001D6A3E">
            <w:pPr>
              <w:spacing w:after="0" w:line="240" w:lineRule="auto"/>
              <w:rPr>
                <w:rFonts w:ascii="Verdana" w:eastAsia="Verdana" w:hAnsi="Verdana" w:cs="Verdana"/>
                <w:sz w:val="16"/>
              </w:rPr>
            </w:pPr>
            <w:r>
              <w:rPr>
                <w:rFonts w:ascii="Verdana" w:eastAsia="Verdana" w:hAnsi="Verdana" w:cs="Verdana"/>
                <w:sz w:val="16"/>
              </w:rPr>
              <w:t>All Actions Complete</w:t>
            </w:r>
          </w:p>
        </w:tc>
        <w:tc>
          <w:tcPr>
            <w:tcW w:w="7513"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Pr="0082255F" w:rsidRDefault="006D37B5" w:rsidP="0082255F">
            <w:pPr>
              <w:spacing w:after="0" w:line="240" w:lineRule="auto"/>
              <w:rPr>
                <w:rFonts w:ascii="Verdana" w:eastAsia="Verdana" w:hAnsi="Verdana" w:cs="Verdana"/>
                <w:sz w:val="16"/>
              </w:rPr>
            </w:pPr>
          </w:p>
        </w:tc>
        <w:tc>
          <w:tcPr>
            <w:tcW w:w="1276"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Default="006D37B5" w:rsidP="006D37B5">
            <w:pPr>
              <w:pStyle w:val="Default"/>
              <w:rPr>
                <w:rFonts w:ascii="Verdana" w:eastAsia="Verdana" w:hAnsi="Verdana" w:cs="Verdana"/>
                <w:sz w:val="16"/>
                <w:lang w:eastAsia="en-US"/>
              </w:rPr>
            </w:pPr>
          </w:p>
        </w:tc>
        <w:tc>
          <w:tcPr>
            <w:tcW w:w="992"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Default="006D37B5" w:rsidP="006D37B5">
            <w:pPr>
              <w:pStyle w:val="Default"/>
              <w:rPr>
                <w:rFonts w:ascii="Verdana" w:eastAsia="Verdana" w:hAnsi="Verdana" w:cs="Verdana"/>
                <w:sz w:val="16"/>
                <w:lang w:eastAsia="en-US"/>
              </w:rPr>
            </w:pPr>
          </w:p>
        </w:tc>
        <w:tc>
          <w:tcPr>
            <w:tcW w:w="1135"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D37B5" w:rsidRPr="006B0E56" w:rsidRDefault="006D37B5" w:rsidP="006D37B5">
            <w:pPr>
              <w:spacing w:after="0" w:line="240" w:lineRule="auto"/>
              <w:jc w:val="center"/>
              <w:rPr>
                <w:rFonts w:ascii="Verdana" w:eastAsia="Verdana" w:hAnsi="Verdana" w:cs="Verdana"/>
                <w:noProof/>
                <w:color w:val="000000"/>
                <w:sz w:val="16"/>
                <w:lang w:eastAsia="en-GB"/>
              </w:rPr>
            </w:pPr>
          </w:p>
        </w:tc>
      </w:tr>
      <w:tr w:rsidR="006D37B5" w:rsidRPr="009B6971" w:rsidTr="00035499">
        <w:tc>
          <w:tcPr>
            <w:tcW w:w="15736" w:type="dxa"/>
            <w:gridSpan w:val="8"/>
            <w:tcBorders>
              <w:top w:val="single" w:sz="8" w:space="0" w:color="78786E"/>
              <w:left w:val="single" w:sz="8" w:space="0" w:color="78786E"/>
              <w:bottom w:val="single" w:sz="8" w:space="0" w:color="78786E"/>
              <w:right w:val="single" w:sz="8" w:space="0" w:color="78786E"/>
            </w:tcBorders>
            <w:shd w:val="clear" w:color="auto" w:fill="D9E2F3" w:themeFill="accent1" w:themeFillTint="33"/>
            <w:tcMar>
              <w:top w:w="40" w:type="dxa"/>
              <w:left w:w="40" w:type="dxa"/>
              <w:bottom w:w="40" w:type="dxa"/>
              <w:right w:w="40" w:type="dxa"/>
            </w:tcMar>
          </w:tcPr>
          <w:p w:rsidR="006D37B5" w:rsidRPr="009B6971" w:rsidRDefault="006D37B5" w:rsidP="006D37B5">
            <w:pPr>
              <w:spacing w:after="0" w:line="240" w:lineRule="auto"/>
              <w:rPr>
                <w:rFonts w:ascii="Verdana" w:eastAsia="Verdana" w:hAnsi="Verdana" w:cs="Verdana"/>
                <w:b/>
                <w:noProof/>
                <w:sz w:val="18"/>
                <w:szCs w:val="18"/>
                <w:lang w:eastAsia="en-GB"/>
              </w:rPr>
            </w:pPr>
            <w:r w:rsidRPr="009B6971">
              <w:rPr>
                <w:b/>
                <w:i/>
                <w:sz w:val="18"/>
                <w:szCs w:val="18"/>
              </w:rPr>
              <w:t>Funding</w:t>
            </w:r>
          </w:p>
        </w:tc>
      </w:tr>
      <w:tr w:rsidR="008C7702" w:rsidTr="00420B73">
        <w:trPr>
          <w:trHeight w:val="235"/>
        </w:trPr>
        <w:tc>
          <w:tcPr>
            <w:tcW w:w="425"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8C7702" w:rsidRPr="000B60B3" w:rsidRDefault="008C7702" w:rsidP="00420B73">
            <w:pPr>
              <w:pStyle w:val="Default"/>
              <w:numPr>
                <w:ilvl w:val="0"/>
                <w:numId w:val="7"/>
              </w:numPr>
              <w:rPr>
                <w:rFonts w:ascii="Verdana" w:eastAsia="Verdana" w:hAnsi="Verdana" w:cs="Verdana"/>
                <w:sz w:val="16"/>
                <w:lang w:eastAsia="en-US"/>
              </w:rPr>
            </w:pPr>
          </w:p>
        </w:tc>
        <w:tc>
          <w:tcPr>
            <w:tcW w:w="4395" w:type="dxa"/>
            <w:gridSpan w:val="3"/>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8C7702" w:rsidRPr="0082255F" w:rsidRDefault="008C7702" w:rsidP="00420B73">
            <w:pPr>
              <w:spacing w:after="0" w:line="240" w:lineRule="auto"/>
              <w:rPr>
                <w:rFonts w:ascii="Verdana" w:eastAsia="Verdana" w:hAnsi="Verdana" w:cs="Verdana"/>
                <w:sz w:val="16"/>
              </w:rPr>
            </w:pPr>
            <w:r>
              <w:rPr>
                <w:rFonts w:ascii="Verdana" w:eastAsia="Verdana" w:hAnsi="Verdana" w:cs="Verdana"/>
                <w:sz w:val="16"/>
              </w:rPr>
              <w:t>All Actions Complete</w:t>
            </w:r>
          </w:p>
        </w:tc>
        <w:tc>
          <w:tcPr>
            <w:tcW w:w="7513"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8C7702" w:rsidRPr="0082255F" w:rsidRDefault="008C7702" w:rsidP="00420B73">
            <w:pPr>
              <w:spacing w:after="0" w:line="240" w:lineRule="auto"/>
              <w:rPr>
                <w:rFonts w:ascii="Verdana" w:eastAsia="Verdana" w:hAnsi="Verdana" w:cs="Verdana"/>
                <w:sz w:val="16"/>
              </w:rPr>
            </w:pPr>
          </w:p>
        </w:tc>
        <w:tc>
          <w:tcPr>
            <w:tcW w:w="1276"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8C7702" w:rsidRDefault="008C7702" w:rsidP="00420B73">
            <w:pPr>
              <w:pStyle w:val="Default"/>
              <w:rPr>
                <w:rFonts w:ascii="Verdana" w:eastAsia="Verdana" w:hAnsi="Verdana" w:cs="Verdana"/>
                <w:sz w:val="16"/>
                <w:lang w:eastAsia="en-US"/>
              </w:rPr>
            </w:pPr>
          </w:p>
        </w:tc>
        <w:tc>
          <w:tcPr>
            <w:tcW w:w="992"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8C7702" w:rsidRDefault="008C7702" w:rsidP="00420B73">
            <w:pPr>
              <w:pStyle w:val="Default"/>
              <w:rPr>
                <w:rFonts w:ascii="Verdana" w:eastAsia="Verdana" w:hAnsi="Verdana" w:cs="Verdana"/>
                <w:sz w:val="16"/>
                <w:lang w:eastAsia="en-US"/>
              </w:rPr>
            </w:pPr>
          </w:p>
        </w:tc>
        <w:tc>
          <w:tcPr>
            <w:tcW w:w="1135"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8C7702" w:rsidRPr="006B0E56" w:rsidRDefault="008C7702" w:rsidP="00420B73">
            <w:pPr>
              <w:spacing w:after="0" w:line="240" w:lineRule="auto"/>
              <w:jc w:val="center"/>
              <w:rPr>
                <w:rFonts w:ascii="Verdana" w:eastAsia="Verdana" w:hAnsi="Verdana" w:cs="Verdana"/>
                <w:noProof/>
                <w:color w:val="000000"/>
                <w:sz w:val="16"/>
                <w:lang w:eastAsia="en-GB"/>
              </w:rPr>
            </w:pPr>
          </w:p>
        </w:tc>
      </w:tr>
      <w:tr w:rsidR="006D37B5" w:rsidRPr="009B6971" w:rsidTr="00497676">
        <w:tc>
          <w:tcPr>
            <w:tcW w:w="15736" w:type="dxa"/>
            <w:gridSpan w:val="8"/>
            <w:tcBorders>
              <w:top w:val="single" w:sz="8" w:space="0" w:color="78786E"/>
              <w:left w:val="single" w:sz="8" w:space="0" w:color="78786E"/>
              <w:bottom w:val="single" w:sz="8" w:space="0" w:color="78786E"/>
              <w:right w:val="single" w:sz="8" w:space="0" w:color="78786E"/>
            </w:tcBorders>
            <w:shd w:val="clear" w:color="auto" w:fill="D9D9D9" w:themeFill="background1" w:themeFillShade="D9"/>
            <w:tcMar>
              <w:top w:w="40" w:type="dxa"/>
              <w:left w:w="40" w:type="dxa"/>
              <w:bottom w:w="40" w:type="dxa"/>
              <w:right w:w="40" w:type="dxa"/>
            </w:tcMar>
          </w:tcPr>
          <w:p w:rsidR="006D37B5" w:rsidRPr="009B6971" w:rsidRDefault="006D37B5" w:rsidP="006D37B5">
            <w:pPr>
              <w:spacing w:after="0" w:line="240" w:lineRule="auto"/>
              <w:rPr>
                <w:b/>
                <w:i/>
                <w:sz w:val="18"/>
                <w:szCs w:val="18"/>
              </w:rPr>
            </w:pPr>
          </w:p>
        </w:tc>
      </w:tr>
    </w:tbl>
    <w:p w:rsidR="005046E8" w:rsidRPr="00075C60" w:rsidRDefault="005046E8" w:rsidP="00463968">
      <w:pPr>
        <w:spacing w:after="0" w:line="240" w:lineRule="auto"/>
        <w:rPr>
          <w:sz w:val="12"/>
          <w:szCs w:val="12"/>
        </w:rPr>
      </w:pPr>
    </w:p>
    <w:tbl>
      <w:tblPr>
        <w:tblW w:w="5645"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961"/>
        <w:gridCol w:w="3827"/>
        <w:gridCol w:w="3545"/>
      </w:tblGrid>
      <w:tr w:rsidR="001F14E8" w:rsidTr="00D87EDA">
        <w:tc>
          <w:tcPr>
            <w:tcW w:w="3403"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1F14E8" w:rsidRDefault="006A2671" w:rsidP="006A2671">
            <w:pPr>
              <w:spacing w:after="0" w:line="240" w:lineRule="auto"/>
              <w:rPr>
                <w:rFonts w:ascii="Verdana" w:eastAsia="Verdana" w:hAnsi="Verdana" w:cs="Verdana"/>
                <w:sz w:val="16"/>
              </w:rPr>
            </w:pPr>
            <w:r w:rsidRPr="006A2671">
              <w:rPr>
                <w:rFonts w:ascii="Verdana" w:eastAsia="Verdana" w:hAnsi="Verdana" w:cs="Verdana"/>
                <w:sz w:val="16"/>
                <w:u w:val="single"/>
              </w:rPr>
              <w:t>Workforce</w:t>
            </w:r>
            <w:r>
              <w:rPr>
                <w:rFonts w:ascii="Verdana" w:eastAsia="Verdana" w:hAnsi="Verdana" w:cs="Verdana"/>
                <w:sz w:val="16"/>
              </w:rPr>
              <w:t>:</w:t>
            </w:r>
          </w:p>
          <w:p w:rsidR="006A2671" w:rsidRPr="006A2671" w:rsidRDefault="006A2671" w:rsidP="006A2671">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P</w:t>
            </w:r>
            <w:r w:rsidRPr="006A2671">
              <w:rPr>
                <w:rFonts w:ascii="Verdana" w:eastAsia="Verdana" w:hAnsi="Verdana" w:cs="Verdana"/>
                <w:sz w:val="16"/>
              </w:rPr>
              <w:t>arts of workforce most at risk from the impact of EU withdrawal</w:t>
            </w:r>
            <w:r>
              <w:rPr>
                <w:rFonts w:ascii="Verdana" w:eastAsia="Verdana" w:hAnsi="Verdana" w:cs="Verdana"/>
                <w:sz w:val="16"/>
              </w:rPr>
              <w:t>?</w:t>
            </w:r>
          </w:p>
          <w:p w:rsidR="006A2671" w:rsidRPr="006A2671" w:rsidRDefault="006A2671" w:rsidP="006A2671">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P</w:t>
            </w:r>
            <w:r w:rsidRPr="006A2671">
              <w:rPr>
                <w:rFonts w:ascii="Verdana" w:eastAsia="Verdana" w:hAnsi="Verdana" w:cs="Verdana"/>
                <w:sz w:val="16"/>
              </w:rPr>
              <w:t>articular workforc</w:t>
            </w:r>
            <w:r>
              <w:rPr>
                <w:rFonts w:ascii="Verdana" w:eastAsia="Verdana" w:hAnsi="Verdana" w:cs="Verdana"/>
                <w:sz w:val="16"/>
              </w:rPr>
              <w:t>e issues that are specific to o</w:t>
            </w:r>
            <w:r w:rsidRPr="006A2671">
              <w:rPr>
                <w:rFonts w:ascii="Verdana" w:eastAsia="Verdana" w:hAnsi="Verdana" w:cs="Verdana"/>
                <w:sz w:val="16"/>
              </w:rPr>
              <w:t>ur local area</w:t>
            </w:r>
            <w:r>
              <w:rPr>
                <w:rFonts w:ascii="Verdana" w:eastAsia="Verdana" w:hAnsi="Verdana" w:cs="Verdana"/>
                <w:sz w:val="16"/>
              </w:rPr>
              <w:t>?</w:t>
            </w:r>
          </w:p>
          <w:p w:rsidR="006A2671" w:rsidRDefault="006A2671" w:rsidP="006A2671">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No.</w:t>
            </w:r>
            <w:r w:rsidRPr="006A2671">
              <w:rPr>
                <w:rFonts w:ascii="Verdana" w:eastAsia="Verdana" w:hAnsi="Verdana" w:cs="Verdana"/>
                <w:sz w:val="16"/>
              </w:rPr>
              <w:t xml:space="preserve"> of Non-UK EU workers in </w:t>
            </w:r>
            <w:r>
              <w:rPr>
                <w:rFonts w:ascii="Verdana" w:eastAsia="Verdana" w:hAnsi="Verdana" w:cs="Verdana"/>
                <w:sz w:val="16"/>
              </w:rPr>
              <w:t>council?</w:t>
            </w:r>
          </w:p>
          <w:p w:rsidR="006A2671" w:rsidRPr="006A2671" w:rsidRDefault="006A2671" w:rsidP="006A2671">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I</w:t>
            </w:r>
            <w:r w:rsidRPr="006A2671">
              <w:rPr>
                <w:rFonts w:ascii="Verdana" w:eastAsia="Verdana" w:hAnsi="Verdana" w:cs="Verdana"/>
                <w:sz w:val="16"/>
              </w:rPr>
              <w:t xml:space="preserve">mplications of withdrawal </w:t>
            </w:r>
            <w:r>
              <w:rPr>
                <w:rFonts w:ascii="Verdana" w:eastAsia="Verdana" w:hAnsi="Verdana" w:cs="Verdana"/>
                <w:sz w:val="16"/>
              </w:rPr>
              <w:t>on</w:t>
            </w:r>
            <w:r w:rsidRPr="006A2671">
              <w:rPr>
                <w:rFonts w:ascii="Verdana" w:eastAsia="Verdana" w:hAnsi="Verdana" w:cs="Verdana"/>
                <w:sz w:val="16"/>
              </w:rPr>
              <w:t xml:space="preserve"> long-term workforce planning</w:t>
            </w:r>
            <w:r>
              <w:rPr>
                <w:rFonts w:ascii="Verdana" w:eastAsia="Verdana" w:hAnsi="Verdana" w:cs="Verdana"/>
                <w:sz w:val="16"/>
              </w:rPr>
              <w:t>?</w:t>
            </w:r>
          </w:p>
          <w:p w:rsidR="006A2671" w:rsidRPr="006A2671" w:rsidRDefault="006A2671" w:rsidP="006A2671">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I</w:t>
            </w:r>
            <w:r w:rsidRPr="006A2671">
              <w:rPr>
                <w:rFonts w:ascii="Verdana" w:eastAsia="Verdana" w:hAnsi="Verdana" w:cs="Verdana"/>
                <w:sz w:val="16"/>
              </w:rPr>
              <w:t xml:space="preserve">mplications for local workforce in </w:t>
            </w:r>
            <w:r>
              <w:rPr>
                <w:rFonts w:ascii="Verdana" w:eastAsia="Verdana" w:hAnsi="Verdana" w:cs="Verdana"/>
                <w:sz w:val="16"/>
              </w:rPr>
              <w:t>our</w:t>
            </w:r>
            <w:r w:rsidRPr="006A2671">
              <w:rPr>
                <w:rFonts w:ascii="Verdana" w:eastAsia="Verdana" w:hAnsi="Verdana" w:cs="Verdana"/>
                <w:sz w:val="16"/>
              </w:rPr>
              <w:t xml:space="preserve"> economic strategies</w:t>
            </w:r>
          </w:p>
          <w:p w:rsidR="006A2671" w:rsidRPr="006A2671" w:rsidRDefault="006A2671" w:rsidP="006A2671">
            <w:pPr>
              <w:pStyle w:val="ListParagraph"/>
              <w:numPr>
                <w:ilvl w:val="0"/>
                <w:numId w:val="4"/>
              </w:numPr>
              <w:spacing w:after="0" w:line="240" w:lineRule="auto"/>
              <w:ind w:left="108" w:hanging="108"/>
              <w:rPr>
                <w:rFonts w:ascii="Verdana" w:eastAsia="Verdana" w:hAnsi="Verdana" w:cs="Verdana"/>
                <w:sz w:val="16"/>
              </w:rPr>
            </w:pPr>
            <w:r w:rsidRPr="006A2671">
              <w:rPr>
                <w:rFonts w:ascii="Verdana" w:eastAsia="Verdana" w:hAnsi="Verdana" w:cs="Verdana"/>
                <w:sz w:val="16"/>
              </w:rPr>
              <w:t xml:space="preserve">Effect on organisation of reduced access to EU Labour </w:t>
            </w:r>
          </w:p>
          <w:p w:rsidR="006A2671" w:rsidRPr="006A2671" w:rsidRDefault="006A2671" w:rsidP="006A2671">
            <w:pPr>
              <w:pStyle w:val="ListParagraph"/>
              <w:numPr>
                <w:ilvl w:val="0"/>
                <w:numId w:val="4"/>
              </w:numPr>
              <w:spacing w:after="0" w:line="240" w:lineRule="auto"/>
              <w:ind w:left="108" w:hanging="108"/>
              <w:rPr>
                <w:rFonts w:ascii="Verdana" w:eastAsia="Verdana" w:hAnsi="Verdana" w:cs="Verdana"/>
                <w:sz w:val="16"/>
              </w:rPr>
            </w:pPr>
            <w:r w:rsidRPr="006A2671">
              <w:rPr>
                <w:rFonts w:ascii="Verdana" w:eastAsia="Verdana" w:hAnsi="Verdana" w:cs="Verdana"/>
                <w:sz w:val="16"/>
              </w:rPr>
              <w:t>Effect on ability to recruit were there to be a reduction in the currency value</w:t>
            </w:r>
          </w:p>
        </w:tc>
        <w:tc>
          <w:tcPr>
            <w:tcW w:w="4961"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A2671" w:rsidRDefault="006A2671" w:rsidP="006A2671">
            <w:pPr>
              <w:spacing w:after="0" w:line="240" w:lineRule="auto"/>
              <w:rPr>
                <w:rFonts w:ascii="Verdana" w:eastAsia="Verdana" w:hAnsi="Verdana" w:cs="Verdana"/>
                <w:sz w:val="16"/>
              </w:rPr>
            </w:pPr>
            <w:r>
              <w:rPr>
                <w:rFonts w:ascii="Verdana" w:eastAsia="Verdana" w:hAnsi="Verdana" w:cs="Verdana"/>
                <w:sz w:val="16"/>
                <w:u w:val="single"/>
              </w:rPr>
              <w:t>Goods, services &amp; supply chains</w:t>
            </w:r>
            <w:r>
              <w:rPr>
                <w:rFonts w:ascii="Verdana" w:eastAsia="Verdana" w:hAnsi="Verdana" w:cs="Verdana"/>
                <w:sz w:val="16"/>
              </w:rPr>
              <w:t>:</w:t>
            </w:r>
          </w:p>
          <w:p w:rsidR="001952F3" w:rsidRDefault="001952F3" w:rsidP="00D865A6">
            <w:pPr>
              <w:pStyle w:val="ListParagraph"/>
              <w:numPr>
                <w:ilvl w:val="0"/>
                <w:numId w:val="4"/>
              </w:numPr>
              <w:spacing w:after="0" w:line="240" w:lineRule="auto"/>
              <w:ind w:left="108" w:hanging="108"/>
              <w:rPr>
                <w:rFonts w:ascii="Verdana" w:eastAsia="Verdana" w:hAnsi="Verdana" w:cs="Verdana"/>
                <w:sz w:val="16"/>
              </w:rPr>
            </w:pPr>
            <w:r w:rsidRPr="001952F3">
              <w:rPr>
                <w:rFonts w:ascii="Verdana" w:eastAsia="Verdana" w:hAnsi="Verdana" w:cs="Verdana"/>
                <w:sz w:val="16"/>
              </w:rPr>
              <w:t xml:space="preserve">Critical areas that may be impacted </w:t>
            </w:r>
            <w:r w:rsidR="00986624">
              <w:rPr>
                <w:rFonts w:ascii="Verdana" w:eastAsia="Verdana" w:hAnsi="Verdana" w:cs="Verdana"/>
                <w:sz w:val="16"/>
              </w:rPr>
              <w:t>if supply interrupted</w:t>
            </w:r>
            <w:r>
              <w:rPr>
                <w:rFonts w:ascii="Verdana" w:eastAsia="Verdana" w:hAnsi="Verdana" w:cs="Verdana"/>
                <w:sz w:val="16"/>
              </w:rPr>
              <w:t>?</w:t>
            </w:r>
          </w:p>
          <w:p w:rsidR="001952F3" w:rsidRPr="001952F3" w:rsidRDefault="001952F3" w:rsidP="00D865A6">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A</w:t>
            </w:r>
            <w:r w:rsidRPr="001952F3">
              <w:rPr>
                <w:rFonts w:ascii="Verdana" w:eastAsia="Verdana" w:hAnsi="Verdana" w:cs="Verdana"/>
                <w:sz w:val="16"/>
              </w:rPr>
              <w:t>vailability of resources</w:t>
            </w:r>
            <w:r>
              <w:rPr>
                <w:rFonts w:ascii="Verdana" w:eastAsia="Verdana" w:hAnsi="Verdana" w:cs="Verdana"/>
                <w:sz w:val="16"/>
              </w:rPr>
              <w:t>/need for</w:t>
            </w:r>
            <w:r w:rsidRPr="001952F3">
              <w:rPr>
                <w:rFonts w:ascii="Verdana" w:eastAsia="Verdana" w:hAnsi="Verdana" w:cs="Verdana"/>
                <w:sz w:val="16"/>
              </w:rPr>
              <w:t xml:space="preserve"> stockpiling</w:t>
            </w:r>
            <w:r>
              <w:rPr>
                <w:rFonts w:ascii="Verdana" w:eastAsia="Verdana" w:hAnsi="Verdana" w:cs="Verdana"/>
                <w:sz w:val="16"/>
              </w:rPr>
              <w:t>?</w:t>
            </w:r>
          </w:p>
          <w:p w:rsidR="001952F3" w:rsidRPr="001952F3" w:rsidRDefault="001952F3" w:rsidP="001952F3">
            <w:pPr>
              <w:pStyle w:val="ListParagraph"/>
              <w:numPr>
                <w:ilvl w:val="0"/>
                <w:numId w:val="4"/>
              </w:numPr>
              <w:spacing w:after="0" w:line="240" w:lineRule="auto"/>
              <w:ind w:left="108" w:hanging="108"/>
              <w:rPr>
                <w:rFonts w:ascii="Verdana" w:eastAsia="Verdana" w:hAnsi="Verdana" w:cs="Verdana"/>
                <w:sz w:val="16"/>
              </w:rPr>
            </w:pPr>
            <w:r w:rsidRPr="001952F3">
              <w:rPr>
                <w:rFonts w:ascii="Verdana" w:eastAsia="Verdana" w:hAnsi="Verdana" w:cs="Verdana"/>
                <w:sz w:val="16"/>
              </w:rPr>
              <w:t>3rd sector providers</w:t>
            </w:r>
            <w:r w:rsidR="00756B40">
              <w:rPr>
                <w:rFonts w:ascii="Verdana" w:eastAsia="Verdana" w:hAnsi="Verdana" w:cs="Verdana"/>
                <w:sz w:val="16"/>
              </w:rPr>
              <w:t>/</w:t>
            </w:r>
            <w:r w:rsidRPr="001952F3">
              <w:rPr>
                <w:rFonts w:ascii="Verdana" w:eastAsia="Verdana" w:hAnsi="Verdana" w:cs="Verdana"/>
                <w:sz w:val="16"/>
              </w:rPr>
              <w:t>links to contingency planning</w:t>
            </w:r>
            <w:r w:rsidR="00756B40">
              <w:rPr>
                <w:rFonts w:ascii="Verdana" w:eastAsia="Verdana" w:hAnsi="Verdana" w:cs="Verdana"/>
                <w:sz w:val="16"/>
              </w:rPr>
              <w:t>?</w:t>
            </w:r>
          </w:p>
          <w:p w:rsidR="001952F3" w:rsidRPr="00756B40" w:rsidRDefault="00344865" w:rsidP="00756B40">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S</w:t>
            </w:r>
            <w:r w:rsidRPr="001952F3">
              <w:rPr>
                <w:rFonts w:ascii="Verdana" w:eastAsia="Verdana" w:hAnsi="Verdana" w:cs="Verdana"/>
                <w:sz w:val="16"/>
              </w:rPr>
              <w:t>upply chain</w:t>
            </w:r>
            <w:r>
              <w:rPr>
                <w:rFonts w:ascii="Verdana" w:eastAsia="Verdana" w:hAnsi="Verdana" w:cs="Verdana"/>
                <w:sz w:val="16"/>
              </w:rPr>
              <w:t xml:space="preserve"> resilience/d</w:t>
            </w:r>
            <w:r w:rsidR="001952F3" w:rsidRPr="001952F3">
              <w:rPr>
                <w:rFonts w:ascii="Verdana" w:eastAsia="Verdana" w:hAnsi="Verdana" w:cs="Verdana"/>
                <w:sz w:val="16"/>
              </w:rPr>
              <w:t>iscussions with suppliers</w:t>
            </w:r>
            <w:r w:rsidR="00756B40">
              <w:rPr>
                <w:rFonts w:ascii="Verdana" w:eastAsia="Verdana" w:hAnsi="Verdana" w:cs="Verdana"/>
                <w:sz w:val="16"/>
              </w:rPr>
              <w:t>?</w:t>
            </w:r>
          </w:p>
          <w:p w:rsidR="001952F3" w:rsidRPr="001952F3" w:rsidRDefault="001952F3" w:rsidP="001952F3">
            <w:pPr>
              <w:pStyle w:val="ListParagraph"/>
              <w:numPr>
                <w:ilvl w:val="0"/>
                <w:numId w:val="4"/>
              </w:numPr>
              <w:spacing w:after="0" w:line="240" w:lineRule="auto"/>
              <w:ind w:left="108" w:hanging="108"/>
              <w:rPr>
                <w:rFonts w:ascii="Verdana" w:eastAsia="Verdana" w:hAnsi="Verdana" w:cs="Verdana"/>
                <w:sz w:val="16"/>
              </w:rPr>
            </w:pPr>
            <w:r w:rsidRPr="001952F3">
              <w:rPr>
                <w:rFonts w:ascii="Verdana" w:eastAsia="Verdana" w:hAnsi="Verdana" w:cs="Verdana"/>
                <w:sz w:val="16"/>
              </w:rPr>
              <w:t>Effect on trading standards if mutual recognition ends between UK and EU</w:t>
            </w:r>
          </w:p>
          <w:p w:rsidR="001952F3" w:rsidRPr="001952F3" w:rsidRDefault="001952F3" w:rsidP="001952F3">
            <w:pPr>
              <w:pStyle w:val="ListParagraph"/>
              <w:numPr>
                <w:ilvl w:val="0"/>
                <w:numId w:val="4"/>
              </w:numPr>
              <w:spacing w:after="0" w:line="240" w:lineRule="auto"/>
              <w:ind w:left="108" w:hanging="108"/>
              <w:rPr>
                <w:rFonts w:ascii="Verdana" w:eastAsia="Verdana" w:hAnsi="Verdana" w:cs="Verdana"/>
                <w:sz w:val="16"/>
              </w:rPr>
            </w:pPr>
            <w:r w:rsidRPr="001952F3">
              <w:rPr>
                <w:rFonts w:ascii="Verdana" w:eastAsia="Verdana" w:hAnsi="Verdana" w:cs="Verdana"/>
                <w:sz w:val="16"/>
              </w:rPr>
              <w:t>Effect of new import and export checks that may be required</w:t>
            </w:r>
          </w:p>
          <w:p w:rsidR="001952F3" w:rsidRPr="001952F3" w:rsidRDefault="00756B40" w:rsidP="001952F3">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Im</w:t>
            </w:r>
            <w:r w:rsidR="001952F3" w:rsidRPr="001952F3">
              <w:rPr>
                <w:rFonts w:ascii="Verdana" w:eastAsia="Verdana" w:hAnsi="Verdana" w:cs="Verdana"/>
                <w:sz w:val="16"/>
              </w:rPr>
              <w:t>plications of any change to state aid rules and/or processes</w:t>
            </w:r>
          </w:p>
          <w:p w:rsidR="001952F3" w:rsidRPr="001952F3" w:rsidRDefault="001952F3" w:rsidP="001952F3">
            <w:pPr>
              <w:pStyle w:val="ListParagraph"/>
              <w:numPr>
                <w:ilvl w:val="0"/>
                <w:numId w:val="4"/>
              </w:numPr>
              <w:spacing w:after="0" w:line="240" w:lineRule="auto"/>
              <w:ind w:left="108" w:hanging="108"/>
              <w:rPr>
                <w:rFonts w:ascii="Verdana" w:eastAsia="Verdana" w:hAnsi="Verdana" w:cs="Verdana"/>
                <w:sz w:val="16"/>
              </w:rPr>
            </w:pPr>
            <w:r w:rsidRPr="001952F3">
              <w:rPr>
                <w:rFonts w:ascii="Verdana" w:eastAsia="Verdana" w:hAnsi="Verdana" w:cs="Verdana"/>
                <w:sz w:val="16"/>
              </w:rPr>
              <w:t>Effects on contracts of currency fluctuations</w:t>
            </w:r>
          </w:p>
          <w:p w:rsidR="001952F3" w:rsidRPr="001952F3" w:rsidRDefault="00344865" w:rsidP="001952F3">
            <w:pPr>
              <w:pStyle w:val="ListParagraph"/>
              <w:numPr>
                <w:ilvl w:val="0"/>
                <w:numId w:val="4"/>
              </w:numPr>
              <w:spacing w:after="0" w:line="240" w:lineRule="auto"/>
              <w:ind w:left="108" w:hanging="108"/>
              <w:rPr>
                <w:rFonts w:ascii="Verdana" w:eastAsia="Verdana" w:hAnsi="Verdana" w:cs="Verdana"/>
                <w:sz w:val="16"/>
              </w:rPr>
            </w:pPr>
            <w:r w:rsidRPr="001952F3">
              <w:rPr>
                <w:rFonts w:ascii="Verdana" w:eastAsia="Verdana" w:hAnsi="Verdana" w:cs="Verdana"/>
                <w:sz w:val="16"/>
              </w:rPr>
              <w:t>Goods</w:t>
            </w:r>
            <w:r w:rsidR="001952F3" w:rsidRPr="001952F3">
              <w:rPr>
                <w:rFonts w:ascii="Verdana" w:eastAsia="Verdana" w:hAnsi="Verdana" w:cs="Verdana"/>
                <w:sz w:val="16"/>
              </w:rPr>
              <w:t xml:space="preserve"> or services that local area </w:t>
            </w:r>
            <w:r w:rsidR="00756B40">
              <w:rPr>
                <w:rFonts w:ascii="Verdana" w:eastAsia="Verdana" w:hAnsi="Verdana" w:cs="Verdana"/>
                <w:sz w:val="16"/>
              </w:rPr>
              <w:t>relies</w:t>
            </w:r>
            <w:r w:rsidR="001952F3" w:rsidRPr="001952F3">
              <w:rPr>
                <w:rFonts w:ascii="Verdana" w:eastAsia="Verdana" w:hAnsi="Verdana" w:cs="Verdana"/>
                <w:sz w:val="16"/>
              </w:rPr>
              <w:t xml:space="preserve"> on from EU countries</w:t>
            </w:r>
          </w:p>
          <w:p w:rsidR="001F14E8" w:rsidRPr="006A2671" w:rsidRDefault="00986624" w:rsidP="001952F3">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O</w:t>
            </w:r>
            <w:r w:rsidR="001952F3" w:rsidRPr="001952F3">
              <w:rPr>
                <w:rFonts w:ascii="Verdana" w:eastAsia="Verdana" w:hAnsi="Verdana" w:cs="Verdana"/>
                <w:sz w:val="16"/>
              </w:rPr>
              <w:t>pportunities for collaboration with or to help suppliers</w:t>
            </w:r>
          </w:p>
        </w:tc>
        <w:tc>
          <w:tcPr>
            <w:tcW w:w="3827"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A2671" w:rsidRDefault="006A2671" w:rsidP="006A2671">
            <w:pPr>
              <w:spacing w:after="0" w:line="240" w:lineRule="auto"/>
              <w:rPr>
                <w:rFonts w:ascii="Verdana" w:eastAsia="Verdana" w:hAnsi="Verdana" w:cs="Verdana"/>
                <w:sz w:val="16"/>
              </w:rPr>
            </w:pPr>
            <w:r>
              <w:rPr>
                <w:rFonts w:ascii="Verdana" w:eastAsia="Verdana" w:hAnsi="Verdana" w:cs="Verdana"/>
                <w:sz w:val="16"/>
                <w:u w:val="single"/>
              </w:rPr>
              <w:t>Place</w:t>
            </w:r>
            <w:r>
              <w:rPr>
                <w:rFonts w:ascii="Verdana" w:eastAsia="Verdana" w:hAnsi="Verdana" w:cs="Verdana"/>
                <w:sz w:val="16"/>
              </w:rPr>
              <w:t>:</w:t>
            </w:r>
          </w:p>
          <w:p w:rsidR="00C8291C" w:rsidRPr="00C8291C" w:rsidRDefault="00C8291C" w:rsidP="00C8291C">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Issues identified through/ with</w:t>
            </w:r>
            <w:r w:rsidRPr="00C8291C">
              <w:rPr>
                <w:rFonts w:ascii="Verdana" w:eastAsia="Verdana" w:hAnsi="Verdana" w:cs="Verdana"/>
                <w:sz w:val="16"/>
              </w:rPr>
              <w:t xml:space="preserve"> CPP partners</w:t>
            </w:r>
          </w:p>
          <w:p w:rsidR="00C8291C" w:rsidRPr="00C8291C" w:rsidRDefault="00C8291C" w:rsidP="00C8291C">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 xml:space="preserve">Issues identified through/ with </w:t>
            </w:r>
            <w:r w:rsidRPr="00C8291C">
              <w:rPr>
                <w:rFonts w:ascii="Verdana" w:eastAsia="Verdana" w:hAnsi="Verdana" w:cs="Verdana"/>
                <w:sz w:val="16"/>
              </w:rPr>
              <w:t>private sector partners</w:t>
            </w:r>
          </w:p>
          <w:p w:rsidR="00C8291C" w:rsidRDefault="00C8291C" w:rsidP="00C8291C">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Di</w:t>
            </w:r>
            <w:r w:rsidRPr="00C8291C">
              <w:rPr>
                <w:rFonts w:ascii="Verdana" w:eastAsia="Verdana" w:hAnsi="Verdana" w:cs="Verdana"/>
                <w:sz w:val="16"/>
              </w:rPr>
              <w:t>alogue with communities abou</w:t>
            </w:r>
            <w:r>
              <w:rPr>
                <w:rFonts w:ascii="Verdana" w:eastAsia="Verdana" w:hAnsi="Verdana" w:cs="Verdana"/>
                <w:sz w:val="16"/>
              </w:rPr>
              <w:t>t possible effects of a no deal?</w:t>
            </w:r>
          </w:p>
          <w:p w:rsidR="00C8291C" w:rsidRPr="00C8291C" w:rsidRDefault="00C8291C" w:rsidP="00C8291C">
            <w:pPr>
              <w:pStyle w:val="ListParagraph"/>
              <w:numPr>
                <w:ilvl w:val="0"/>
                <w:numId w:val="4"/>
              </w:numPr>
              <w:spacing w:after="0" w:line="240" w:lineRule="auto"/>
              <w:ind w:left="108" w:hanging="108"/>
              <w:rPr>
                <w:rFonts w:ascii="Verdana" w:eastAsia="Verdana" w:hAnsi="Verdana" w:cs="Verdana"/>
                <w:sz w:val="16"/>
              </w:rPr>
            </w:pPr>
            <w:r w:rsidRPr="00C8291C">
              <w:rPr>
                <w:rFonts w:ascii="Verdana" w:eastAsia="Verdana" w:hAnsi="Verdana" w:cs="Verdana"/>
                <w:sz w:val="16"/>
              </w:rPr>
              <w:t xml:space="preserve">Effects outwith organisation </w:t>
            </w:r>
            <w:r>
              <w:rPr>
                <w:rFonts w:ascii="Verdana" w:eastAsia="Verdana" w:hAnsi="Verdana" w:cs="Verdana"/>
                <w:sz w:val="16"/>
              </w:rPr>
              <w:t>–</w:t>
            </w:r>
            <w:r w:rsidRPr="00C8291C">
              <w:rPr>
                <w:rFonts w:ascii="Verdana" w:eastAsia="Verdana" w:hAnsi="Verdana" w:cs="Verdana"/>
                <w:sz w:val="16"/>
              </w:rPr>
              <w:t xml:space="preserve"> e</w:t>
            </w:r>
            <w:r>
              <w:rPr>
                <w:rFonts w:ascii="Verdana" w:eastAsia="Verdana" w:hAnsi="Verdana" w:cs="Verdana"/>
                <w:sz w:val="16"/>
              </w:rPr>
              <w:t>.</w:t>
            </w:r>
            <w:r w:rsidRPr="00C8291C">
              <w:rPr>
                <w:rFonts w:ascii="Verdana" w:eastAsia="Verdana" w:hAnsi="Verdana" w:cs="Verdana"/>
                <w:sz w:val="16"/>
              </w:rPr>
              <w:t>g</w:t>
            </w:r>
            <w:r>
              <w:rPr>
                <w:rFonts w:ascii="Verdana" w:eastAsia="Verdana" w:hAnsi="Verdana" w:cs="Verdana"/>
                <w:sz w:val="16"/>
              </w:rPr>
              <w:t>.</w:t>
            </w:r>
            <w:r w:rsidRPr="00C8291C">
              <w:rPr>
                <w:rFonts w:ascii="Verdana" w:eastAsia="Verdana" w:hAnsi="Verdana" w:cs="Verdana"/>
                <w:sz w:val="16"/>
              </w:rPr>
              <w:t xml:space="preserve"> any sectors in your area that rely on Non-UK EU workers</w:t>
            </w:r>
          </w:p>
          <w:p w:rsidR="00C8291C" w:rsidRPr="00C8291C" w:rsidRDefault="00C8291C" w:rsidP="00C8291C">
            <w:pPr>
              <w:pStyle w:val="ListParagraph"/>
              <w:numPr>
                <w:ilvl w:val="0"/>
                <w:numId w:val="4"/>
              </w:numPr>
              <w:spacing w:after="0" w:line="240" w:lineRule="auto"/>
              <w:ind w:left="108" w:hanging="108"/>
              <w:rPr>
                <w:rFonts w:ascii="Verdana" w:eastAsia="Verdana" w:hAnsi="Verdana" w:cs="Verdana"/>
                <w:sz w:val="16"/>
              </w:rPr>
            </w:pPr>
            <w:r>
              <w:rPr>
                <w:rFonts w:ascii="Verdana" w:eastAsia="Verdana" w:hAnsi="Verdana" w:cs="Verdana"/>
                <w:sz w:val="16"/>
              </w:rPr>
              <w:t>Council</w:t>
            </w:r>
            <w:r w:rsidRPr="00C8291C">
              <w:rPr>
                <w:rFonts w:ascii="Verdana" w:eastAsia="Verdana" w:hAnsi="Verdana" w:cs="Verdana"/>
                <w:sz w:val="16"/>
              </w:rPr>
              <w:t xml:space="preserve"> priorities for providing support and assistance to communities</w:t>
            </w:r>
            <w:r>
              <w:rPr>
                <w:rFonts w:ascii="Verdana" w:eastAsia="Verdana" w:hAnsi="Verdana" w:cs="Verdana"/>
                <w:sz w:val="16"/>
              </w:rPr>
              <w:t>?</w:t>
            </w:r>
          </w:p>
          <w:p w:rsidR="00C8291C" w:rsidRPr="00C8291C" w:rsidRDefault="00C8291C" w:rsidP="00C8291C">
            <w:pPr>
              <w:pStyle w:val="ListParagraph"/>
              <w:numPr>
                <w:ilvl w:val="0"/>
                <w:numId w:val="4"/>
              </w:numPr>
              <w:spacing w:after="0" w:line="240" w:lineRule="auto"/>
              <w:ind w:left="108" w:hanging="108"/>
              <w:rPr>
                <w:rFonts w:ascii="Verdana" w:eastAsia="Verdana" w:hAnsi="Verdana" w:cs="Verdana"/>
                <w:sz w:val="16"/>
              </w:rPr>
            </w:pPr>
            <w:r w:rsidRPr="00C8291C">
              <w:rPr>
                <w:rFonts w:ascii="Verdana" w:eastAsia="Verdana" w:hAnsi="Verdana" w:cs="Verdana"/>
                <w:sz w:val="16"/>
              </w:rPr>
              <w:t>Impact on transport networks</w:t>
            </w:r>
            <w:r>
              <w:rPr>
                <w:rFonts w:ascii="Verdana" w:eastAsia="Verdana" w:hAnsi="Verdana" w:cs="Verdana"/>
                <w:sz w:val="16"/>
              </w:rPr>
              <w:t>?</w:t>
            </w:r>
          </w:p>
          <w:p w:rsidR="001F14E8" w:rsidRPr="00986624" w:rsidRDefault="00C8291C" w:rsidP="006A2671">
            <w:pPr>
              <w:pStyle w:val="ListParagraph"/>
              <w:numPr>
                <w:ilvl w:val="0"/>
                <w:numId w:val="4"/>
              </w:numPr>
              <w:spacing w:after="0" w:line="240" w:lineRule="auto"/>
              <w:ind w:left="108" w:hanging="108"/>
              <w:rPr>
                <w:rFonts w:ascii="Verdana" w:eastAsia="Verdana" w:hAnsi="Verdana" w:cs="Verdana"/>
                <w:sz w:val="16"/>
              </w:rPr>
            </w:pPr>
            <w:r w:rsidRPr="00C8291C">
              <w:rPr>
                <w:rFonts w:ascii="Verdana" w:eastAsia="Verdana" w:hAnsi="Verdana" w:cs="Verdana"/>
                <w:sz w:val="16"/>
              </w:rPr>
              <w:t>Impact of large numbers of UK citizens returning from other parts of the EU</w:t>
            </w:r>
          </w:p>
        </w:tc>
        <w:tc>
          <w:tcPr>
            <w:tcW w:w="3545" w:type="dxa"/>
            <w:tcBorders>
              <w:top w:val="single" w:sz="8" w:space="0" w:color="78786E"/>
              <w:left w:val="single" w:sz="8" w:space="0" w:color="78786E"/>
              <w:bottom w:val="single" w:sz="8" w:space="0" w:color="78786E"/>
              <w:right w:val="single" w:sz="8" w:space="0" w:color="78786E"/>
            </w:tcBorders>
            <w:tcMar>
              <w:top w:w="40" w:type="dxa"/>
              <w:left w:w="40" w:type="dxa"/>
              <w:bottom w:w="40" w:type="dxa"/>
              <w:right w:w="40" w:type="dxa"/>
            </w:tcMar>
          </w:tcPr>
          <w:p w:rsidR="006A2671" w:rsidRDefault="006A2671" w:rsidP="006A2671">
            <w:pPr>
              <w:spacing w:after="0" w:line="240" w:lineRule="auto"/>
              <w:rPr>
                <w:rFonts w:ascii="Verdana" w:eastAsia="Verdana" w:hAnsi="Verdana" w:cs="Verdana"/>
                <w:sz w:val="16"/>
              </w:rPr>
            </w:pPr>
            <w:r>
              <w:rPr>
                <w:rFonts w:ascii="Verdana" w:eastAsia="Verdana" w:hAnsi="Verdana" w:cs="Verdana"/>
                <w:sz w:val="16"/>
                <w:u w:val="single"/>
              </w:rPr>
              <w:t>Funding</w:t>
            </w:r>
            <w:r>
              <w:rPr>
                <w:rFonts w:ascii="Verdana" w:eastAsia="Verdana" w:hAnsi="Verdana" w:cs="Verdana"/>
                <w:sz w:val="16"/>
              </w:rPr>
              <w:t>:</w:t>
            </w:r>
          </w:p>
          <w:p w:rsidR="00393DEF" w:rsidRPr="00393DEF" w:rsidRDefault="00393DEF" w:rsidP="00393DEF">
            <w:pPr>
              <w:pStyle w:val="ListParagraph"/>
              <w:numPr>
                <w:ilvl w:val="0"/>
                <w:numId w:val="4"/>
              </w:numPr>
              <w:spacing w:after="0" w:line="240" w:lineRule="auto"/>
              <w:ind w:left="108" w:hanging="108"/>
              <w:rPr>
                <w:rFonts w:ascii="Verdana" w:eastAsia="Verdana" w:hAnsi="Verdana" w:cs="Verdana"/>
                <w:sz w:val="16"/>
              </w:rPr>
            </w:pPr>
            <w:r w:rsidRPr="00393DEF">
              <w:rPr>
                <w:rFonts w:ascii="Verdana" w:eastAsia="Verdana" w:hAnsi="Verdana" w:cs="Verdana"/>
                <w:sz w:val="16"/>
              </w:rPr>
              <w:t>Impact of any fluctuations in the currency rate to income (e</w:t>
            </w:r>
            <w:r>
              <w:rPr>
                <w:rFonts w:ascii="Verdana" w:eastAsia="Verdana" w:hAnsi="Verdana" w:cs="Verdana"/>
                <w:sz w:val="16"/>
              </w:rPr>
              <w:t>.</w:t>
            </w:r>
            <w:r w:rsidRPr="00393DEF">
              <w:rPr>
                <w:rFonts w:ascii="Verdana" w:eastAsia="Verdana" w:hAnsi="Verdana" w:cs="Verdana"/>
                <w:sz w:val="16"/>
              </w:rPr>
              <w:t>g</w:t>
            </w:r>
            <w:r>
              <w:rPr>
                <w:rFonts w:ascii="Verdana" w:eastAsia="Verdana" w:hAnsi="Verdana" w:cs="Verdana"/>
                <w:sz w:val="16"/>
              </w:rPr>
              <w:t>.</w:t>
            </w:r>
            <w:r w:rsidRPr="00393DEF">
              <w:rPr>
                <w:rFonts w:ascii="Verdana" w:eastAsia="Verdana" w:hAnsi="Verdana" w:cs="Verdana"/>
                <w:sz w:val="16"/>
              </w:rPr>
              <w:t xml:space="preserve"> council tax, non-domestic rates)</w:t>
            </w:r>
          </w:p>
          <w:p w:rsidR="00393DEF" w:rsidRPr="00393DEF" w:rsidRDefault="00393DEF" w:rsidP="00393DEF">
            <w:pPr>
              <w:pStyle w:val="ListParagraph"/>
              <w:numPr>
                <w:ilvl w:val="0"/>
                <w:numId w:val="4"/>
              </w:numPr>
              <w:spacing w:after="0" w:line="240" w:lineRule="auto"/>
              <w:ind w:left="108" w:hanging="108"/>
              <w:rPr>
                <w:rFonts w:ascii="Verdana" w:eastAsia="Verdana" w:hAnsi="Verdana" w:cs="Verdana"/>
                <w:sz w:val="16"/>
              </w:rPr>
            </w:pPr>
            <w:r w:rsidRPr="00393DEF">
              <w:rPr>
                <w:rFonts w:ascii="Verdana" w:eastAsia="Verdana" w:hAnsi="Verdana" w:cs="Verdana"/>
                <w:sz w:val="16"/>
              </w:rPr>
              <w:t>Impact of any fluctuations in the currency rate to expenditure</w:t>
            </w:r>
          </w:p>
          <w:p w:rsidR="00393DEF" w:rsidRPr="00393DEF" w:rsidRDefault="00393DEF" w:rsidP="00393DEF">
            <w:pPr>
              <w:pStyle w:val="ListParagraph"/>
              <w:numPr>
                <w:ilvl w:val="0"/>
                <w:numId w:val="4"/>
              </w:numPr>
              <w:spacing w:after="0" w:line="240" w:lineRule="auto"/>
              <w:ind w:left="108" w:hanging="108"/>
              <w:rPr>
                <w:rFonts w:ascii="Verdana" w:eastAsia="Verdana" w:hAnsi="Verdana" w:cs="Verdana"/>
                <w:sz w:val="16"/>
              </w:rPr>
            </w:pPr>
            <w:r w:rsidRPr="00393DEF">
              <w:rPr>
                <w:rFonts w:ascii="Verdana" w:eastAsia="Verdana" w:hAnsi="Verdana" w:cs="Verdana"/>
                <w:sz w:val="16"/>
              </w:rPr>
              <w:t>Impact of the loss of any EU Funding (e</w:t>
            </w:r>
            <w:r>
              <w:rPr>
                <w:rFonts w:ascii="Verdana" w:eastAsia="Verdana" w:hAnsi="Verdana" w:cs="Verdana"/>
                <w:sz w:val="16"/>
              </w:rPr>
              <w:t>.</w:t>
            </w:r>
            <w:r w:rsidRPr="00393DEF">
              <w:rPr>
                <w:rFonts w:ascii="Verdana" w:eastAsia="Verdana" w:hAnsi="Verdana" w:cs="Verdana"/>
                <w:sz w:val="16"/>
              </w:rPr>
              <w:t>g</w:t>
            </w:r>
            <w:r>
              <w:rPr>
                <w:rFonts w:ascii="Verdana" w:eastAsia="Verdana" w:hAnsi="Verdana" w:cs="Verdana"/>
                <w:sz w:val="16"/>
              </w:rPr>
              <w:t>.</w:t>
            </w:r>
            <w:r w:rsidRPr="00393DEF">
              <w:rPr>
                <w:rFonts w:ascii="Verdana" w:eastAsia="Verdana" w:hAnsi="Verdana" w:cs="Verdana"/>
                <w:sz w:val="16"/>
              </w:rPr>
              <w:t xml:space="preserve"> European Structural Funds)</w:t>
            </w:r>
          </w:p>
          <w:p w:rsidR="00393DEF" w:rsidRPr="00393DEF" w:rsidRDefault="00393DEF" w:rsidP="00393DEF">
            <w:pPr>
              <w:pStyle w:val="ListParagraph"/>
              <w:numPr>
                <w:ilvl w:val="0"/>
                <w:numId w:val="4"/>
              </w:numPr>
              <w:spacing w:after="0" w:line="240" w:lineRule="auto"/>
              <w:ind w:left="108" w:hanging="108"/>
              <w:rPr>
                <w:rFonts w:ascii="Verdana" w:eastAsia="Verdana" w:hAnsi="Verdana" w:cs="Verdana"/>
                <w:sz w:val="16"/>
              </w:rPr>
            </w:pPr>
            <w:r w:rsidRPr="00393DEF">
              <w:rPr>
                <w:rFonts w:ascii="Verdana" w:eastAsia="Verdana" w:hAnsi="Verdana" w:cs="Verdana"/>
                <w:sz w:val="16"/>
              </w:rPr>
              <w:t>Impact on future economic growth</w:t>
            </w:r>
          </w:p>
          <w:p w:rsidR="00393DEF" w:rsidRPr="00393DEF" w:rsidRDefault="00393DEF" w:rsidP="00393DEF">
            <w:pPr>
              <w:pStyle w:val="ListParagraph"/>
              <w:numPr>
                <w:ilvl w:val="0"/>
                <w:numId w:val="4"/>
              </w:numPr>
              <w:spacing w:after="0" w:line="240" w:lineRule="auto"/>
              <w:ind w:left="108" w:hanging="108"/>
              <w:rPr>
                <w:rFonts w:ascii="Verdana" w:eastAsia="Verdana" w:hAnsi="Verdana" w:cs="Verdana"/>
                <w:sz w:val="16"/>
              </w:rPr>
            </w:pPr>
            <w:r w:rsidRPr="00393DEF">
              <w:rPr>
                <w:rFonts w:ascii="Verdana" w:eastAsia="Verdana" w:hAnsi="Verdana" w:cs="Verdana"/>
                <w:sz w:val="16"/>
              </w:rPr>
              <w:t>Impact on any infrastructure and regeneration projects and plans</w:t>
            </w:r>
          </w:p>
          <w:p w:rsidR="001F14E8" w:rsidRPr="006A2671" w:rsidRDefault="00393DEF" w:rsidP="00393DEF">
            <w:pPr>
              <w:pStyle w:val="ListParagraph"/>
              <w:numPr>
                <w:ilvl w:val="0"/>
                <w:numId w:val="4"/>
              </w:numPr>
              <w:spacing w:after="0" w:line="240" w:lineRule="auto"/>
              <w:ind w:left="108" w:hanging="108"/>
              <w:rPr>
                <w:rFonts w:ascii="Verdana" w:eastAsia="Verdana" w:hAnsi="Verdana" w:cs="Verdana"/>
                <w:sz w:val="16"/>
              </w:rPr>
            </w:pPr>
            <w:r w:rsidRPr="00393DEF">
              <w:rPr>
                <w:rFonts w:ascii="Verdana" w:eastAsia="Verdana" w:hAnsi="Verdana" w:cs="Verdana"/>
                <w:sz w:val="16"/>
              </w:rPr>
              <w:t>Impact on social inclusion issues (e</w:t>
            </w:r>
            <w:r>
              <w:rPr>
                <w:rFonts w:ascii="Verdana" w:eastAsia="Verdana" w:hAnsi="Verdana" w:cs="Verdana"/>
                <w:sz w:val="16"/>
              </w:rPr>
              <w:t>.</w:t>
            </w:r>
            <w:r w:rsidRPr="00393DEF">
              <w:rPr>
                <w:rFonts w:ascii="Verdana" w:eastAsia="Verdana" w:hAnsi="Verdana" w:cs="Verdana"/>
                <w:sz w:val="16"/>
              </w:rPr>
              <w:t>g</w:t>
            </w:r>
            <w:r>
              <w:rPr>
                <w:rFonts w:ascii="Verdana" w:eastAsia="Verdana" w:hAnsi="Verdana" w:cs="Verdana"/>
                <w:sz w:val="16"/>
              </w:rPr>
              <w:t>.</w:t>
            </w:r>
            <w:r w:rsidRPr="00393DEF">
              <w:rPr>
                <w:rFonts w:ascii="Verdana" w:eastAsia="Verdana" w:hAnsi="Verdana" w:cs="Verdana"/>
                <w:sz w:val="16"/>
              </w:rPr>
              <w:t xml:space="preserve"> welfare fund)</w:t>
            </w:r>
          </w:p>
        </w:tc>
      </w:tr>
    </w:tbl>
    <w:p w:rsidR="001F14E8" w:rsidRDefault="001F14E8" w:rsidP="009B6971">
      <w:pPr>
        <w:spacing w:after="0" w:line="240" w:lineRule="auto"/>
      </w:pPr>
    </w:p>
    <w:sectPr w:rsidR="001F14E8" w:rsidSect="00DB6B4B">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altName w:val="Calibri"/>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8BA"/>
    <w:multiLevelType w:val="hybridMultilevel"/>
    <w:tmpl w:val="D300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A5F77"/>
    <w:multiLevelType w:val="hybridMultilevel"/>
    <w:tmpl w:val="558C575A"/>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 w15:restartNumberingAfterBreak="0">
    <w:nsid w:val="11FD3B7F"/>
    <w:multiLevelType w:val="hybridMultilevel"/>
    <w:tmpl w:val="F2AE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F4258"/>
    <w:multiLevelType w:val="hybridMultilevel"/>
    <w:tmpl w:val="F2AE8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3A2225"/>
    <w:multiLevelType w:val="hybridMultilevel"/>
    <w:tmpl w:val="F2AE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E2BC8"/>
    <w:multiLevelType w:val="hybridMultilevel"/>
    <w:tmpl w:val="94EA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96368"/>
    <w:multiLevelType w:val="hybridMultilevel"/>
    <w:tmpl w:val="F2AE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376CCE"/>
    <w:multiLevelType w:val="hybridMultilevel"/>
    <w:tmpl w:val="C032F9E2"/>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540" w:hanging="360"/>
      </w:pPr>
    </w:lvl>
    <w:lvl w:ilvl="2" w:tplc="0809001B">
      <w:start w:val="1"/>
      <w:numFmt w:val="lowerRoman"/>
      <w:lvlText w:val="%3."/>
      <w:lvlJc w:val="right"/>
      <w:pPr>
        <w:ind w:left="180" w:hanging="180"/>
      </w:pPr>
    </w:lvl>
    <w:lvl w:ilvl="3" w:tplc="0809000F">
      <w:start w:val="1"/>
      <w:numFmt w:val="decimal"/>
      <w:lvlText w:val="%4."/>
      <w:lvlJc w:val="left"/>
      <w:pPr>
        <w:ind w:left="900" w:hanging="360"/>
      </w:pPr>
    </w:lvl>
    <w:lvl w:ilvl="4" w:tplc="08090019">
      <w:start w:val="1"/>
      <w:numFmt w:val="lowerLetter"/>
      <w:lvlText w:val="%5."/>
      <w:lvlJc w:val="left"/>
      <w:pPr>
        <w:ind w:left="1620" w:hanging="360"/>
      </w:pPr>
    </w:lvl>
    <w:lvl w:ilvl="5" w:tplc="0809001B">
      <w:start w:val="1"/>
      <w:numFmt w:val="lowerRoman"/>
      <w:lvlText w:val="%6."/>
      <w:lvlJc w:val="right"/>
      <w:pPr>
        <w:ind w:left="2340" w:hanging="180"/>
      </w:pPr>
    </w:lvl>
    <w:lvl w:ilvl="6" w:tplc="0809000F">
      <w:start w:val="1"/>
      <w:numFmt w:val="decimal"/>
      <w:lvlText w:val="%7."/>
      <w:lvlJc w:val="left"/>
      <w:pPr>
        <w:ind w:left="3060" w:hanging="360"/>
      </w:pPr>
    </w:lvl>
    <w:lvl w:ilvl="7" w:tplc="08090019">
      <w:start w:val="1"/>
      <w:numFmt w:val="lowerLetter"/>
      <w:lvlText w:val="%8."/>
      <w:lvlJc w:val="left"/>
      <w:pPr>
        <w:ind w:left="3780" w:hanging="360"/>
      </w:pPr>
    </w:lvl>
    <w:lvl w:ilvl="8" w:tplc="0809001B">
      <w:start w:val="1"/>
      <w:numFmt w:val="lowerRoman"/>
      <w:lvlText w:val="%9."/>
      <w:lvlJc w:val="right"/>
      <w:pPr>
        <w:ind w:left="4500" w:hanging="180"/>
      </w:pPr>
    </w:lvl>
  </w:abstractNum>
  <w:abstractNum w:abstractNumId="8" w15:restartNumberingAfterBreak="0">
    <w:nsid w:val="52DE4BEB"/>
    <w:multiLevelType w:val="hybridMultilevel"/>
    <w:tmpl w:val="8170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92AB8"/>
    <w:multiLevelType w:val="hybridMultilevel"/>
    <w:tmpl w:val="31F0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967EE"/>
    <w:multiLevelType w:val="hybridMultilevel"/>
    <w:tmpl w:val="D1E254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F941CD"/>
    <w:multiLevelType w:val="hybridMultilevel"/>
    <w:tmpl w:val="312CE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41C47"/>
    <w:multiLevelType w:val="hybridMultilevel"/>
    <w:tmpl w:val="29DA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F30F4"/>
    <w:multiLevelType w:val="hybridMultilevel"/>
    <w:tmpl w:val="6526C9AC"/>
    <w:lvl w:ilvl="0" w:tplc="8FEA7DE6">
      <w:numFmt w:val="bullet"/>
      <w:lvlText w:val="•"/>
      <w:lvlJc w:val="left"/>
      <w:pPr>
        <w:ind w:left="1080" w:hanging="72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C4112"/>
    <w:multiLevelType w:val="hybridMultilevel"/>
    <w:tmpl w:val="3E94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CC6B5D"/>
    <w:multiLevelType w:val="hybridMultilevel"/>
    <w:tmpl w:val="0DAAB9A0"/>
    <w:lvl w:ilvl="0" w:tplc="AF50FE48">
      <w:start w:val="1"/>
      <w:numFmt w:val="decimal"/>
      <w:lvlText w:val="(%1)"/>
      <w:lvlJc w:val="left"/>
      <w:pPr>
        <w:ind w:left="360" w:hanging="360"/>
      </w:pPr>
      <w:rPr>
        <w:color w:val="auto"/>
      </w:rPr>
    </w:lvl>
    <w:lvl w:ilvl="1" w:tplc="08090019">
      <w:start w:val="1"/>
      <w:numFmt w:val="lowerLetter"/>
      <w:lvlText w:val="%2."/>
      <w:lvlJc w:val="left"/>
      <w:pPr>
        <w:ind w:left="-540" w:hanging="360"/>
      </w:pPr>
    </w:lvl>
    <w:lvl w:ilvl="2" w:tplc="0809001B">
      <w:start w:val="1"/>
      <w:numFmt w:val="lowerRoman"/>
      <w:lvlText w:val="%3."/>
      <w:lvlJc w:val="right"/>
      <w:pPr>
        <w:ind w:left="180" w:hanging="180"/>
      </w:pPr>
    </w:lvl>
    <w:lvl w:ilvl="3" w:tplc="0809000F">
      <w:start w:val="1"/>
      <w:numFmt w:val="decimal"/>
      <w:lvlText w:val="%4."/>
      <w:lvlJc w:val="left"/>
      <w:pPr>
        <w:ind w:left="900" w:hanging="360"/>
      </w:pPr>
    </w:lvl>
    <w:lvl w:ilvl="4" w:tplc="08090019">
      <w:start w:val="1"/>
      <w:numFmt w:val="lowerLetter"/>
      <w:lvlText w:val="%5."/>
      <w:lvlJc w:val="left"/>
      <w:pPr>
        <w:ind w:left="1620" w:hanging="360"/>
      </w:pPr>
    </w:lvl>
    <w:lvl w:ilvl="5" w:tplc="0809001B">
      <w:start w:val="1"/>
      <w:numFmt w:val="lowerRoman"/>
      <w:lvlText w:val="%6."/>
      <w:lvlJc w:val="right"/>
      <w:pPr>
        <w:ind w:left="2340" w:hanging="180"/>
      </w:pPr>
    </w:lvl>
    <w:lvl w:ilvl="6" w:tplc="0809000F">
      <w:start w:val="1"/>
      <w:numFmt w:val="decimal"/>
      <w:lvlText w:val="%7."/>
      <w:lvlJc w:val="left"/>
      <w:pPr>
        <w:ind w:left="3060" w:hanging="360"/>
      </w:pPr>
    </w:lvl>
    <w:lvl w:ilvl="7" w:tplc="08090019">
      <w:start w:val="1"/>
      <w:numFmt w:val="lowerLetter"/>
      <w:lvlText w:val="%8."/>
      <w:lvlJc w:val="left"/>
      <w:pPr>
        <w:ind w:left="3780" w:hanging="360"/>
      </w:pPr>
    </w:lvl>
    <w:lvl w:ilvl="8" w:tplc="0809001B">
      <w:start w:val="1"/>
      <w:numFmt w:val="lowerRoman"/>
      <w:lvlText w:val="%9."/>
      <w:lvlJc w:val="right"/>
      <w:pPr>
        <w:ind w:left="45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3"/>
  </w:num>
  <w:num w:numId="6">
    <w:abstractNumId w:val="9"/>
  </w:num>
  <w:num w:numId="7">
    <w:abstractNumId w:val="3"/>
  </w:num>
  <w:num w:numId="8">
    <w:abstractNumId w:val="4"/>
  </w:num>
  <w:num w:numId="9">
    <w:abstractNumId w:val="2"/>
  </w:num>
  <w:num w:numId="10">
    <w:abstractNumId w:val="6"/>
  </w:num>
  <w:num w:numId="11">
    <w:abstractNumId w:val="12"/>
  </w:num>
  <w:num w:numId="12">
    <w:abstractNumId w:val="0"/>
  </w:num>
  <w:num w:numId="13">
    <w:abstractNumId w:val="1"/>
  </w:num>
  <w:num w:numId="14">
    <w:abstractNumId w:val="8"/>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68"/>
    <w:rsid w:val="000000CB"/>
    <w:rsid w:val="0000688E"/>
    <w:rsid w:val="00007FC0"/>
    <w:rsid w:val="00011877"/>
    <w:rsid w:val="00011FD5"/>
    <w:rsid w:val="00023AC0"/>
    <w:rsid w:val="00035499"/>
    <w:rsid w:val="00045A76"/>
    <w:rsid w:val="00062525"/>
    <w:rsid w:val="000663C9"/>
    <w:rsid w:val="00072C0F"/>
    <w:rsid w:val="00075C60"/>
    <w:rsid w:val="00081B3F"/>
    <w:rsid w:val="0009225F"/>
    <w:rsid w:val="000B0FEA"/>
    <w:rsid w:val="000B60B3"/>
    <w:rsid w:val="000F44CB"/>
    <w:rsid w:val="00101B05"/>
    <w:rsid w:val="001033AA"/>
    <w:rsid w:val="00120BB2"/>
    <w:rsid w:val="00121A1C"/>
    <w:rsid w:val="00125C6A"/>
    <w:rsid w:val="00126EDE"/>
    <w:rsid w:val="00127BE9"/>
    <w:rsid w:val="001411AA"/>
    <w:rsid w:val="00161E43"/>
    <w:rsid w:val="0018278D"/>
    <w:rsid w:val="001952F3"/>
    <w:rsid w:val="00195BED"/>
    <w:rsid w:val="001A3EC3"/>
    <w:rsid w:val="001C6AC7"/>
    <w:rsid w:val="001D6A3E"/>
    <w:rsid w:val="001D6D9C"/>
    <w:rsid w:val="001E4F3A"/>
    <w:rsid w:val="001F14E8"/>
    <w:rsid w:val="0020544F"/>
    <w:rsid w:val="002113A9"/>
    <w:rsid w:val="002159BA"/>
    <w:rsid w:val="00224F8E"/>
    <w:rsid w:val="00232B08"/>
    <w:rsid w:val="00235F1A"/>
    <w:rsid w:val="00242096"/>
    <w:rsid w:val="00245626"/>
    <w:rsid w:val="00256F0A"/>
    <w:rsid w:val="00281597"/>
    <w:rsid w:val="00290DDC"/>
    <w:rsid w:val="002B090A"/>
    <w:rsid w:val="002C07D2"/>
    <w:rsid w:val="002C2DC4"/>
    <w:rsid w:val="002C44D1"/>
    <w:rsid w:val="002C5D02"/>
    <w:rsid w:val="002D70AB"/>
    <w:rsid w:val="002E3D0C"/>
    <w:rsid w:val="002E5475"/>
    <w:rsid w:val="002F6AB0"/>
    <w:rsid w:val="0031215B"/>
    <w:rsid w:val="003321CE"/>
    <w:rsid w:val="003368A2"/>
    <w:rsid w:val="00341EA7"/>
    <w:rsid w:val="00344366"/>
    <w:rsid w:val="00344865"/>
    <w:rsid w:val="003545E9"/>
    <w:rsid w:val="003571CD"/>
    <w:rsid w:val="0037611C"/>
    <w:rsid w:val="00393DEF"/>
    <w:rsid w:val="003C57BF"/>
    <w:rsid w:val="003C6E59"/>
    <w:rsid w:val="003D3BBB"/>
    <w:rsid w:val="003D5E35"/>
    <w:rsid w:val="003D71F9"/>
    <w:rsid w:val="003E588C"/>
    <w:rsid w:val="003F2F94"/>
    <w:rsid w:val="0040151B"/>
    <w:rsid w:val="00411307"/>
    <w:rsid w:val="00414285"/>
    <w:rsid w:val="00416671"/>
    <w:rsid w:val="00426771"/>
    <w:rsid w:val="00463968"/>
    <w:rsid w:val="0048192B"/>
    <w:rsid w:val="00482828"/>
    <w:rsid w:val="00490208"/>
    <w:rsid w:val="004922A5"/>
    <w:rsid w:val="00497676"/>
    <w:rsid w:val="004A7C7A"/>
    <w:rsid w:val="004B3FE1"/>
    <w:rsid w:val="004E4052"/>
    <w:rsid w:val="004E6AE1"/>
    <w:rsid w:val="005022DF"/>
    <w:rsid w:val="005046E8"/>
    <w:rsid w:val="005111C4"/>
    <w:rsid w:val="005330D9"/>
    <w:rsid w:val="0053462C"/>
    <w:rsid w:val="00536264"/>
    <w:rsid w:val="005438B9"/>
    <w:rsid w:val="0058350A"/>
    <w:rsid w:val="00584E8E"/>
    <w:rsid w:val="00586175"/>
    <w:rsid w:val="005A4E1D"/>
    <w:rsid w:val="005B6286"/>
    <w:rsid w:val="005E43B2"/>
    <w:rsid w:val="005F1184"/>
    <w:rsid w:val="005F1C39"/>
    <w:rsid w:val="005F2008"/>
    <w:rsid w:val="005F496D"/>
    <w:rsid w:val="00605F52"/>
    <w:rsid w:val="00611E72"/>
    <w:rsid w:val="00612EA3"/>
    <w:rsid w:val="00613A86"/>
    <w:rsid w:val="00621A2A"/>
    <w:rsid w:val="006447D8"/>
    <w:rsid w:val="00650841"/>
    <w:rsid w:val="00655D4F"/>
    <w:rsid w:val="00681410"/>
    <w:rsid w:val="00687A2A"/>
    <w:rsid w:val="006908B5"/>
    <w:rsid w:val="006A2671"/>
    <w:rsid w:val="006A473D"/>
    <w:rsid w:val="006B5A47"/>
    <w:rsid w:val="006C5502"/>
    <w:rsid w:val="006D37B5"/>
    <w:rsid w:val="00700E12"/>
    <w:rsid w:val="00704224"/>
    <w:rsid w:val="00705182"/>
    <w:rsid w:val="0071797B"/>
    <w:rsid w:val="0073505B"/>
    <w:rsid w:val="00743BF8"/>
    <w:rsid w:val="007476AA"/>
    <w:rsid w:val="00747783"/>
    <w:rsid w:val="00756B40"/>
    <w:rsid w:val="007628E6"/>
    <w:rsid w:val="00762AF9"/>
    <w:rsid w:val="00777437"/>
    <w:rsid w:val="007A3ADF"/>
    <w:rsid w:val="007C1EE2"/>
    <w:rsid w:val="007D5B32"/>
    <w:rsid w:val="007F42E1"/>
    <w:rsid w:val="0082255F"/>
    <w:rsid w:val="00824996"/>
    <w:rsid w:val="00826EFD"/>
    <w:rsid w:val="00830586"/>
    <w:rsid w:val="00834E18"/>
    <w:rsid w:val="00837C57"/>
    <w:rsid w:val="008437EA"/>
    <w:rsid w:val="00863498"/>
    <w:rsid w:val="00871BCF"/>
    <w:rsid w:val="0087333F"/>
    <w:rsid w:val="00877AB3"/>
    <w:rsid w:val="00887471"/>
    <w:rsid w:val="008B0A1D"/>
    <w:rsid w:val="008C7702"/>
    <w:rsid w:val="00901FA6"/>
    <w:rsid w:val="0090534C"/>
    <w:rsid w:val="00931315"/>
    <w:rsid w:val="009345CB"/>
    <w:rsid w:val="0093526A"/>
    <w:rsid w:val="00940131"/>
    <w:rsid w:val="00944B00"/>
    <w:rsid w:val="00961485"/>
    <w:rsid w:val="009631A6"/>
    <w:rsid w:val="00963A2C"/>
    <w:rsid w:val="0096473C"/>
    <w:rsid w:val="00973C58"/>
    <w:rsid w:val="00975D40"/>
    <w:rsid w:val="00986624"/>
    <w:rsid w:val="0099623B"/>
    <w:rsid w:val="009A07B3"/>
    <w:rsid w:val="009A4C72"/>
    <w:rsid w:val="009B6971"/>
    <w:rsid w:val="00A1399A"/>
    <w:rsid w:val="00A43DBA"/>
    <w:rsid w:val="00A4476A"/>
    <w:rsid w:val="00A52707"/>
    <w:rsid w:val="00A74DA6"/>
    <w:rsid w:val="00A80431"/>
    <w:rsid w:val="00A87A18"/>
    <w:rsid w:val="00A93B1F"/>
    <w:rsid w:val="00A96680"/>
    <w:rsid w:val="00AA37C7"/>
    <w:rsid w:val="00AA4318"/>
    <w:rsid w:val="00AD375C"/>
    <w:rsid w:val="00AF1BE7"/>
    <w:rsid w:val="00B24C12"/>
    <w:rsid w:val="00B2573E"/>
    <w:rsid w:val="00B46626"/>
    <w:rsid w:val="00B56564"/>
    <w:rsid w:val="00B612C1"/>
    <w:rsid w:val="00B62E94"/>
    <w:rsid w:val="00B638EA"/>
    <w:rsid w:val="00B643A7"/>
    <w:rsid w:val="00B6759B"/>
    <w:rsid w:val="00B75930"/>
    <w:rsid w:val="00B95823"/>
    <w:rsid w:val="00BA41DF"/>
    <w:rsid w:val="00BD10CC"/>
    <w:rsid w:val="00C12D9D"/>
    <w:rsid w:val="00C24CEE"/>
    <w:rsid w:val="00C50283"/>
    <w:rsid w:val="00C50875"/>
    <w:rsid w:val="00C6564D"/>
    <w:rsid w:val="00C8291C"/>
    <w:rsid w:val="00C94DFE"/>
    <w:rsid w:val="00CA24B5"/>
    <w:rsid w:val="00CB7212"/>
    <w:rsid w:val="00CC742D"/>
    <w:rsid w:val="00D015DA"/>
    <w:rsid w:val="00D10E05"/>
    <w:rsid w:val="00D20FC0"/>
    <w:rsid w:val="00D30CC8"/>
    <w:rsid w:val="00D32DA6"/>
    <w:rsid w:val="00D35B97"/>
    <w:rsid w:val="00D439ED"/>
    <w:rsid w:val="00D64806"/>
    <w:rsid w:val="00D71FD8"/>
    <w:rsid w:val="00D72863"/>
    <w:rsid w:val="00D8642F"/>
    <w:rsid w:val="00D8723E"/>
    <w:rsid w:val="00D87EDA"/>
    <w:rsid w:val="00D901F6"/>
    <w:rsid w:val="00D9138E"/>
    <w:rsid w:val="00D95A88"/>
    <w:rsid w:val="00DA0192"/>
    <w:rsid w:val="00DB6B4B"/>
    <w:rsid w:val="00DC67D6"/>
    <w:rsid w:val="00DC7DD3"/>
    <w:rsid w:val="00DD101A"/>
    <w:rsid w:val="00DD4B88"/>
    <w:rsid w:val="00DE10EF"/>
    <w:rsid w:val="00DF28A9"/>
    <w:rsid w:val="00E06738"/>
    <w:rsid w:val="00E12311"/>
    <w:rsid w:val="00E22114"/>
    <w:rsid w:val="00E31028"/>
    <w:rsid w:val="00E3761E"/>
    <w:rsid w:val="00E4439E"/>
    <w:rsid w:val="00E61566"/>
    <w:rsid w:val="00E67B6C"/>
    <w:rsid w:val="00E7017F"/>
    <w:rsid w:val="00EA019B"/>
    <w:rsid w:val="00EA4C14"/>
    <w:rsid w:val="00EA633E"/>
    <w:rsid w:val="00EB153C"/>
    <w:rsid w:val="00EC19D0"/>
    <w:rsid w:val="00EC64EA"/>
    <w:rsid w:val="00ED7B60"/>
    <w:rsid w:val="00EF2220"/>
    <w:rsid w:val="00EF759F"/>
    <w:rsid w:val="00F11E76"/>
    <w:rsid w:val="00F1287D"/>
    <w:rsid w:val="00F31FF8"/>
    <w:rsid w:val="00F47BFC"/>
    <w:rsid w:val="00F71584"/>
    <w:rsid w:val="00F7356E"/>
    <w:rsid w:val="00F93E3D"/>
    <w:rsid w:val="00FC270B"/>
    <w:rsid w:val="00FC2B9A"/>
    <w:rsid w:val="00FF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A868"/>
  <w15:docId w15:val="{A844D742-82B4-4901-B36F-754FD04F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1"/>
    <w:locked/>
    <w:rsid w:val="00463968"/>
  </w:style>
  <w:style w:type="paragraph" w:styleId="ListParagraph">
    <w:name w:val="List Paragraph"/>
    <w:basedOn w:val="Normal"/>
    <w:link w:val="ListParagraphChar"/>
    <w:uiPriority w:val="1"/>
    <w:qFormat/>
    <w:rsid w:val="00463968"/>
    <w:pPr>
      <w:ind w:left="720"/>
      <w:contextualSpacing/>
    </w:pPr>
  </w:style>
  <w:style w:type="paragraph" w:customStyle="1" w:styleId="Default">
    <w:name w:val="Default"/>
    <w:basedOn w:val="Normal"/>
    <w:rsid w:val="00463968"/>
    <w:pPr>
      <w:autoSpaceDE w:val="0"/>
      <w:autoSpaceDN w:val="0"/>
      <w:spacing w:after="0" w:line="240" w:lineRule="auto"/>
    </w:pPr>
    <w:rPr>
      <w:rFonts w:ascii="Gill Sans MT" w:hAnsi="Gill Sans MT" w:cs="Times New Roman"/>
      <w:color w:val="000000"/>
      <w:sz w:val="24"/>
      <w:szCs w:val="24"/>
      <w:lang w:eastAsia="en-GB"/>
    </w:rPr>
  </w:style>
  <w:style w:type="paragraph" w:styleId="BalloonText">
    <w:name w:val="Balloon Text"/>
    <w:basedOn w:val="Normal"/>
    <w:link w:val="BalloonTextChar"/>
    <w:uiPriority w:val="99"/>
    <w:semiHidden/>
    <w:unhideWhenUsed/>
    <w:rsid w:val="004E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1034">
      <w:bodyDiv w:val="1"/>
      <w:marLeft w:val="0"/>
      <w:marRight w:val="0"/>
      <w:marTop w:val="0"/>
      <w:marBottom w:val="0"/>
      <w:divBdr>
        <w:top w:val="none" w:sz="0" w:space="0" w:color="auto"/>
        <w:left w:val="none" w:sz="0" w:space="0" w:color="auto"/>
        <w:bottom w:val="none" w:sz="0" w:space="0" w:color="auto"/>
        <w:right w:val="none" w:sz="0" w:space="0" w:color="auto"/>
      </w:divBdr>
    </w:div>
    <w:div w:id="454912579">
      <w:bodyDiv w:val="1"/>
      <w:marLeft w:val="0"/>
      <w:marRight w:val="0"/>
      <w:marTop w:val="0"/>
      <w:marBottom w:val="0"/>
      <w:divBdr>
        <w:top w:val="none" w:sz="0" w:space="0" w:color="auto"/>
        <w:left w:val="none" w:sz="0" w:space="0" w:color="auto"/>
        <w:bottom w:val="none" w:sz="0" w:space="0" w:color="auto"/>
        <w:right w:val="none" w:sz="0" w:space="0" w:color="auto"/>
      </w:divBdr>
    </w:div>
    <w:div w:id="11417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Locke</dc:creator>
  <cp:lastModifiedBy>Karen Locke</cp:lastModifiedBy>
  <cp:revision>5</cp:revision>
  <cp:lastPrinted>2019-08-15T14:49:00Z</cp:lastPrinted>
  <dcterms:created xsi:type="dcterms:W3CDTF">2019-11-04T10:51:00Z</dcterms:created>
  <dcterms:modified xsi:type="dcterms:W3CDTF">2019-11-04T13:57:00Z</dcterms:modified>
</cp:coreProperties>
</file>